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17B" w:rsidRPr="00D34773" w:rsidRDefault="00D34773">
      <w:pPr>
        <w:rPr>
          <w:rFonts w:ascii="微軟正黑體" w:eastAsia="微軟正黑體" w:hAnsi="微軟正黑體"/>
        </w:rPr>
      </w:pPr>
      <w:r w:rsidRPr="00D34773">
        <w:rPr>
          <w:rFonts w:ascii="微軟正黑體" w:eastAsia="微軟正黑體" w:hAnsi="微軟正黑體" w:hint="eastAsia"/>
        </w:rPr>
        <w:t>版型說明：</w:t>
      </w:r>
    </w:p>
    <w:p w:rsidR="00D34773" w:rsidRDefault="00D34773">
      <w:pPr>
        <w:rPr>
          <w:rFonts w:ascii="微軟正黑體" w:eastAsia="微軟正黑體" w:hAnsi="微軟正黑體"/>
        </w:rPr>
      </w:pPr>
      <w:r>
        <w:rPr>
          <w:rFonts w:ascii="微軟正黑體" w:eastAsia="微軟正黑體" w:hAnsi="微軟正黑體" w:hint="eastAsia"/>
        </w:rPr>
        <w:t>外層</w:t>
      </w:r>
      <w:r w:rsidR="00B74B6A">
        <w:rPr>
          <w:rFonts w:ascii="微軟正黑體" w:eastAsia="微軟正黑體" w:hAnsi="微軟正黑體" w:hint="eastAsia"/>
        </w:rPr>
        <w:t>(白)</w:t>
      </w:r>
      <w:r>
        <w:rPr>
          <w:rFonts w:ascii="微軟正黑體" w:eastAsia="微軟正黑體" w:hAnsi="微軟正黑體" w:hint="eastAsia"/>
        </w:rPr>
        <w:t>：簡易文案，標題</w:t>
      </w:r>
      <w:r w:rsidR="00B74B6A">
        <w:rPr>
          <w:rFonts w:ascii="微軟正黑體" w:eastAsia="微軟正黑體" w:hAnsi="微軟正黑體" w:hint="eastAsia"/>
        </w:rPr>
        <w:t>及短敘述</w:t>
      </w:r>
      <w:r>
        <w:rPr>
          <w:rFonts w:ascii="微軟正黑體" w:eastAsia="微軟正黑體" w:hAnsi="微軟正黑體" w:hint="eastAsia"/>
        </w:rPr>
        <w:t>，使用者可點選「了解更多」進入內層</w:t>
      </w:r>
    </w:p>
    <w:p w:rsidR="00D34773" w:rsidRDefault="00D34773">
      <w:pPr>
        <w:rPr>
          <w:rFonts w:ascii="微軟正黑體" w:eastAsia="微軟正黑體" w:hAnsi="微軟正黑體"/>
        </w:rPr>
      </w:pPr>
      <w:r>
        <w:rPr>
          <w:rFonts w:ascii="微軟正黑體" w:eastAsia="微軟正黑體" w:hAnsi="微軟正黑體" w:hint="eastAsia"/>
        </w:rPr>
        <w:t>內層</w:t>
      </w:r>
      <w:r w:rsidR="00B74B6A">
        <w:rPr>
          <w:rFonts w:ascii="微軟正黑體" w:eastAsia="微軟正黑體" w:hAnsi="微軟正黑體"/>
        </w:rPr>
        <w:t>(</w:t>
      </w:r>
      <w:r w:rsidR="00B74B6A">
        <w:rPr>
          <w:rFonts w:ascii="微軟正黑體" w:eastAsia="微軟正黑體" w:hAnsi="微軟正黑體" w:hint="eastAsia"/>
        </w:rPr>
        <w:t>藍)</w:t>
      </w:r>
      <w:r>
        <w:rPr>
          <w:rFonts w:ascii="微軟正黑體" w:eastAsia="微軟正黑體" w:hAnsi="微軟正黑體" w:hint="eastAsia"/>
        </w:rPr>
        <w:t>：</w:t>
      </w:r>
      <w:r w:rsidR="00B74B6A">
        <w:rPr>
          <w:rFonts w:ascii="微軟正黑體" w:eastAsia="微軟正黑體" w:hAnsi="微軟正黑體" w:hint="eastAsia"/>
        </w:rPr>
        <w:t>頁面內視窗顯示</w:t>
      </w:r>
      <w:r>
        <w:rPr>
          <w:rFonts w:ascii="微軟正黑體" w:eastAsia="微軟正黑體" w:hAnsi="微軟正黑體" w:hint="eastAsia"/>
        </w:rPr>
        <w:t>詳細的圖文內容</w:t>
      </w:r>
      <w:r w:rsidR="00B74B6A">
        <w:rPr>
          <w:rFonts w:ascii="微軟正黑體" w:eastAsia="微軟正黑體" w:hAnsi="微軟正黑體" w:hint="eastAsia"/>
        </w:rPr>
        <w:t>，可點選「x」回外層</w:t>
      </w:r>
    </w:p>
    <w:p w:rsidR="00B74B6A" w:rsidRDefault="00D34773">
      <w:pPr>
        <w:rPr>
          <w:rFonts w:ascii="微軟正黑體" w:eastAsia="微軟正黑體" w:hAnsi="微軟正黑體"/>
        </w:rPr>
      </w:pPr>
      <w:r w:rsidRPr="00D34773">
        <w:rPr>
          <w:rFonts w:ascii="微軟正黑體" w:eastAsia="微軟正黑體" w:hAnsi="微軟正黑體"/>
          <w:noProof/>
        </w:rPr>
        <w:drawing>
          <wp:inline distT="0" distB="0" distL="0" distR="0" wp14:anchorId="119E6179" wp14:editId="2D7B2041">
            <wp:extent cx="3848100" cy="249555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848100" cy="2495550"/>
                    </a:xfrm>
                    <a:prstGeom prst="rect">
                      <a:avLst/>
                    </a:prstGeom>
                  </pic:spPr>
                </pic:pic>
              </a:graphicData>
            </a:graphic>
          </wp:inline>
        </w:drawing>
      </w:r>
    </w:p>
    <w:p w:rsidR="00B74B6A" w:rsidRDefault="00B74B6A">
      <w:pPr>
        <w:widowControl/>
        <w:rPr>
          <w:rFonts w:ascii="微軟正黑體" w:eastAsia="微軟正黑體" w:hAnsi="微軟正黑體"/>
        </w:rPr>
      </w:pPr>
      <w:r>
        <w:rPr>
          <w:rFonts w:ascii="微軟正黑體" w:eastAsia="微軟正黑體" w:hAnsi="微軟正黑體"/>
        </w:rPr>
        <w:br w:type="page"/>
      </w:r>
    </w:p>
    <w:p w:rsidR="00D34773" w:rsidRDefault="00B74B6A" w:rsidP="00B74B6A">
      <w:pPr>
        <w:pStyle w:val="a7"/>
        <w:numPr>
          <w:ilvl w:val="0"/>
          <w:numId w:val="1"/>
        </w:numPr>
        <w:ind w:leftChars="0"/>
        <w:rPr>
          <w:rFonts w:ascii="微軟正黑體" w:eastAsia="微軟正黑體" w:hAnsi="微軟正黑體"/>
        </w:rPr>
      </w:pPr>
      <w:r w:rsidRPr="00B74B6A">
        <w:rPr>
          <w:rFonts w:ascii="微軟正黑體" w:eastAsia="微軟正黑體" w:hAnsi="微軟正黑體" w:hint="eastAsia"/>
        </w:rPr>
        <w:lastRenderedPageBreak/>
        <w:t>外層</w:t>
      </w:r>
    </w:p>
    <w:p w:rsidR="00B74B6A" w:rsidRDefault="00B74B6A" w:rsidP="00B74B6A">
      <w:pPr>
        <w:pStyle w:val="a7"/>
        <w:ind w:leftChars="0" w:left="720"/>
        <w:rPr>
          <w:rFonts w:ascii="微軟正黑體" w:eastAsia="微軟正黑體" w:hAnsi="微軟正黑體"/>
        </w:rPr>
      </w:pPr>
      <w:r>
        <w:rPr>
          <w:rFonts w:ascii="微軟正黑體" w:eastAsia="微軟正黑體" w:hAnsi="微軟正黑體" w:hint="eastAsia"/>
        </w:rPr>
        <w:t>標題：</w:t>
      </w:r>
      <w:r w:rsidR="001C652C" w:rsidRPr="001C652C">
        <w:rPr>
          <w:rFonts w:ascii="微軟正黑體" w:eastAsia="微軟正黑體" w:hAnsi="微軟正黑體"/>
        </w:rPr>
        <w:t>Value Talent, Share Success.</w:t>
      </w:r>
    </w:p>
    <w:p w:rsidR="00B74B6A" w:rsidRDefault="00B74B6A" w:rsidP="00B74B6A">
      <w:pPr>
        <w:pStyle w:val="a7"/>
        <w:ind w:leftChars="0" w:left="720"/>
        <w:rPr>
          <w:rFonts w:ascii="微軟正黑體" w:eastAsia="微軟正黑體" w:hAnsi="微軟正黑體"/>
        </w:rPr>
      </w:pPr>
      <w:r>
        <w:rPr>
          <w:rFonts w:ascii="微軟正黑體" w:eastAsia="微軟正黑體" w:hAnsi="微軟正黑體" w:hint="eastAsia"/>
        </w:rPr>
        <w:t>短敘述：</w:t>
      </w:r>
      <w:r w:rsidR="001C652C" w:rsidRPr="001C652C">
        <w:rPr>
          <w:rFonts w:ascii="微軟正黑體" w:eastAsia="微軟正黑體" w:hAnsi="微軟正黑體"/>
        </w:rPr>
        <w:t>We believe that the value of every talent deserves to be recognized and appreciated. Through attractive compensation and benefits policies, we are committed to sharing fair and competitive rewards with each member, fostering mutual growth and success.</w:t>
      </w:r>
    </w:p>
    <w:p w:rsidR="001C652C" w:rsidRPr="00882265" w:rsidRDefault="001C652C" w:rsidP="00B74B6A">
      <w:pPr>
        <w:pStyle w:val="a7"/>
        <w:ind w:leftChars="0" w:left="720"/>
        <w:rPr>
          <w:rFonts w:ascii="微軟正黑體" w:eastAsia="微軟正黑體" w:hAnsi="微軟正黑體"/>
        </w:rPr>
      </w:pPr>
    </w:p>
    <w:p w:rsidR="00B74B6A" w:rsidRDefault="00B74B6A" w:rsidP="00B74B6A">
      <w:pPr>
        <w:pStyle w:val="a7"/>
        <w:numPr>
          <w:ilvl w:val="0"/>
          <w:numId w:val="1"/>
        </w:numPr>
        <w:ind w:leftChars="0"/>
        <w:rPr>
          <w:rFonts w:ascii="微軟正黑體" w:eastAsia="微軟正黑體" w:hAnsi="微軟正黑體"/>
        </w:rPr>
      </w:pPr>
      <w:r>
        <w:rPr>
          <w:rFonts w:ascii="微軟正黑體" w:eastAsia="微軟正黑體" w:hAnsi="微軟正黑體" w:hint="eastAsia"/>
        </w:rPr>
        <w:t>內層</w:t>
      </w:r>
    </w:p>
    <w:p w:rsidR="001C652C" w:rsidRDefault="001C652C" w:rsidP="000A2975">
      <w:pPr>
        <w:pStyle w:val="a7"/>
        <w:ind w:leftChars="0" w:left="720"/>
        <w:rPr>
          <w:rFonts w:ascii="微軟正黑體" w:eastAsia="微軟正黑體" w:hAnsi="微軟正黑體"/>
          <w:b/>
          <w:sz w:val="28"/>
          <w:u w:val="single"/>
        </w:rPr>
      </w:pPr>
      <w:r w:rsidRPr="001C652C">
        <w:rPr>
          <w:rFonts w:ascii="微軟正黑體" w:eastAsia="微軟正黑體" w:hAnsi="微軟正黑體"/>
          <w:b/>
          <w:sz w:val="28"/>
          <w:u w:val="single"/>
        </w:rPr>
        <w:t>Overall Compensation System to Employee</w:t>
      </w:r>
    </w:p>
    <w:p w:rsidR="001C652C" w:rsidRDefault="001C652C" w:rsidP="001C652C">
      <w:pPr>
        <w:pStyle w:val="a7"/>
        <w:rPr>
          <w:rFonts w:ascii="微軟正黑體" w:eastAsia="微軟正黑體" w:hAnsi="微軟正黑體"/>
        </w:rPr>
      </w:pPr>
      <w:r w:rsidRPr="001C652C">
        <w:rPr>
          <w:rFonts w:ascii="微軟正黑體" w:eastAsia="微軟正黑體" w:hAnsi="微軟正黑體"/>
        </w:rPr>
        <w:t>GUC adheres to the labor laws and regulations of each operating location, establishing a</w:t>
      </w:r>
      <w:r>
        <w:rPr>
          <w:rFonts w:ascii="微軟正黑體" w:eastAsia="微軟正黑體" w:hAnsi="微軟正黑體" w:hint="eastAsia"/>
        </w:rPr>
        <w:t xml:space="preserve"> </w:t>
      </w:r>
      <w:r w:rsidRPr="001C652C">
        <w:rPr>
          <w:rFonts w:ascii="微軟正黑體" w:eastAsia="微軟正黑體" w:hAnsi="微軟正黑體"/>
        </w:rPr>
        <w:t>competitive and appropriate compensation strategy to motivate employees. We actively</w:t>
      </w:r>
      <w:r>
        <w:rPr>
          <w:rFonts w:ascii="微軟正黑體" w:eastAsia="微軟正黑體" w:hAnsi="微軟正黑體" w:hint="eastAsia"/>
        </w:rPr>
        <w:t xml:space="preserve"> </w:t>
      </w:r>
      <w:r w:rsidRPr="001C652C">
        <w:rPr>
          <w:rFonts w:ascii="微軟正黑體" w:eastAsia="微軟正黑體" w:hAnsi="微軟正黑體"/>
        </w:rPr>
        <w:t>participate in regional salary surveys, aligning compensation system with company</w:t>
      </w:r>
      <w:r>
        <w:rPr>
          <w:rFonts w:ascii="微軟正黑體" w:eastAsia="微軟正黑體" w:hAnsi="微軟正黑體" w:hint="eastAsia"/>
        </w:rPr>
        <w:t xml:space="preserve"> </w:t>
      </w:r>
      <w:r w:rsidRPr="001C652C">
        <w:rPr>
          <w:rFonts w:ascii="微軟正黑體" w:eastAsia="微軟正黑體" w:hAnsi="微軟正黑體"/>
        </w:rPr>
        <w:t>objectives, to attract and retain talents in the fiercely competitive labor market, enhancing</w:t>
      </w:r>
      <w:r>
        <w:rPr>
          <w:rFonts w:ascii="微軟正黑體" w:eastAsia="微軟正黑體" w:hAnsi="微軟正黑體" w:hint="eastAsia"/>
        </w:rPr>
        <w:t xml:space="preserve"> </w:t>
      </w:r>
      <w:r w:rsidRPr="001C652C">
        <w:rPr>
          <w:rFonts w:ascii="微軟正黑體" w:eastAsia="微軟正黑體" w:hAnsi="微軟正黑體"/>
        </w:rPr>
        <w:t>overall strength and competitiveness. Meanwhile, the Company upholds the concept</w:t>
      </w:r>
      <w:r>
        <w:rPr>
          <w:rFonts w:ascii="微軟正黑體" w:eastAsia="微軟正黑體" w:hAnsi="微軟正黑體" w:hint="eastAsia"/>
        </w:rPr>
        <w:t xml:space="preserve"> </w:t>
      </w:r>
      <w:r w:rsidRPr="001C652C">
        <w:rPr>
          <w:rFonts w:ascii="微軟正黑體" w:eastAsia="微軟正黑體" w:hAnsi="微軟正黑體"/>
        </w:rPr>
        <w:t>of profit-sharing with employees, attracting, retaining, and motivating talents across the</w:t>
      </w:r>
      <w:r>
        <w:rPr>
          <w:rFonts w:ascii="微軟正黑體" w:eastAsia="微軟正黑體" w:hAnsi="微軟正黑體" w:hint="eastAsia"/>
        </w:rPr>
        <w:t xml:space="preserve"> </w:t>
      </w:r>
      <w:r w:rsidRPr="001C652C">
        <w:rPr>
          <w:rFonts w:ascii="微軟正黑體" w:eastAsia="微軟正黑體" w:hAnsi="微軟正黑體"/>
        </w:rPr>
        <w:t>globe. The base pay and benefits for each employee are in same rule, no difference</w:t>
      </w:r>
      <w:r>
        <w:rPr>
          <w:rFonts w:ascii="微軟正黑體" w:eastAsia="微軟正黑體" w:hAnsi="微軟正黑體" w:hint="eastAsia"/>
        </w:rPr>
        <w:t xml:space="preserve"> </w:t>
      </w:r>
      <w:r w:rsidRPr="001C652C">
        <w:rPr>
          <w:rFonts w:ascii="微軟正黑體" w:eastAsia="微軟正黑體" w:hAnsi="微軟正黑體"/>
        </w:rPr>
        <w:t xml:space="preserve">between race, religion, gender, nationality, or political </w:t>
      </w:r>
      <w:r w:rsidRPr="001C652C">
        <w:rPr>
          <w:rFonts w:ascii="微軟正黑體" w:eastAsia="微軟正黑體" w:hAnsi="微軟正黑體"/>
        </w:rPr>
        <w:lastRenderedPageBreak/>
        <w:t>affiliation.</w:t>
      </w:r>
    </w:p>
    <w:p w:rsidR="001C652C" w:rsidRPr="001C652C" w:rsidRDefault="001C652C" w:rsidP="001C652C">
      <w:pPr>
        <w:pStyle w:val="a7"/>
        <w:rPr>
          <w:rFonts w:ascii="微軟正黑體" w:eastAsia="微軟正黑體" w:hAnsi="微軟正黑體"/>
        </w:rPr>
      </w:pPr>
    </w:p>
    <w:p w:rsidR="001C652C" w:rsidRPr="001C652C" w:rsidRDefault="001C652C" w:rsidP="001C652C">
      <w:pPr>
        <w:pStyle w:val="a7"/>
        <w:rPr>
          <w:rFonts w:ascii="微軟正黑體" w:eastAsia="微軟正黑體" w:hAnsi="微軟正黑體"/>
        </w:rPr>
      </w:pPr>
      <w:r w:rsidRPr="001C652C">
        <w:rPr>
          <w:rFonts w:ascii="微軟正黑體" w:eastAsia="微軟正黑體" w:hAnsi="微軟正黑體"/>
        </w:rPr>
        <w:t>The total rewards framework at GUC is as follows:</w:t>
      </w:r>
    </w:p>
    <w:p w:rsidR="001C652C" w:rsidRPr="001C652C" w:rsidRDefault="001C652C" w:rsidP="001C652C">
      <w:pPr>
        <w:pStyle w:val="a7"/>
        <w:rPr>
          <w:rFonts w:ascii="微軟正黑體" w:eastAsia="微軟正黑體" w:hAnsi="微軟正黑體"/>
        </w:rPr>
      </w:pPr>
      <w:r w:rsidRPr="001C652C">
        <w:rPr>
          <w:rFonts w:ascii="微軟正黑體" w:eastAsia="微軟正黑體" w:hAnsi="微軟正黑體" w:hint="eastAsia"/>
        </w:rPr>
        <w:t>•</w:t>
      </w:r>
      <w:r w:rsidRPr="001C652C">
        <w:rPr>
          <w:rFonts w:ascii="微軟正黑體" w:eastAsia="微軟正黑體" w:hAnsi="微軟正黑體"/>
        </w:rPr>
        <w:t xml:space="preserve"> Fixed Salary: A 12 months base salary and structured allowances and subsidy plans in</w:t>
      </w:r>
      <w:r>
        <w:rPr>
          <w:rFonts w:ascii="微軟正黑體" w:eastAsia="微軟正黑體" w:hAnsi="微軟正黑體" w:hint="eastAsia"/>
        </w:rPr>
        <w:t xml:space="preserve"> </w:t>
      </w:r>
      <w:r w:rsidRPr="001C652C">
        <w:rPr>
          <w:rFonts w:ascii="微軟正黑體" w:eastAsia="微軟正黑體" w:hAnsi="微軟正黑體"/>
        </w:rPr>
        <w:t>accordance with local regulations at each operating location.</w:t>
      </w:r>
    </w:p>
    <w:p w:rsidR="001C652C" w:rsidRPr="001C652C" w:rsidRDefault="001C652C" w:rsidP="001C652C">
      <w:pPr>
        <w:pStyle w:val="a7"/>
        <w:rPr>
          <w:rFonts w:ascii="微軟正黑體" w:eastAsia="微軟正黑體" w:hAnsi="微軟正黑體"/>
        </w:rPr>
      </w:pPr>
      <w:r w:rsidRPr="001C652C">
        <w:rPr>
          <w:rFonts w:ascii="微軟正黑體" w:eastAsia="微軟正黑體" w:hAnsi="微軟正黑體" w:hint="eastAsia"/>
        </w:rPr>
        <w:t>•</w:t>
      </w:r>
      <w:r w:rsidRPr="001C652C">
        <w:rPr>
          <w:rFonts w:ascii="微軟正黑體" w:eastAsia="微軟正黑體" w:hAnsi="微軟正黑體"/>
        </w:rPr>
        <w:t xml:space="preserve"> Incentive Bonuses: An incentive bonus system directly tied to individual performance.</w:t>
      </w:r>
    </w:p>
    <w:p w:rsidR="001C652C" w:rsidRPr="001C652C" w:rsidRDefault="001C652C" w:rsidP="001C652C">
      <w:pPr>
        <w:pStyle w:val="a7"/>
        <w:rPr>
          <w:rFonts w:ascii="微軟正黑體" w:eastAsia="微軟正黑體" w:hAnsi="微軟正黑體"/>
        </w:rPr>
      </w:pPr>
      <w:r w:rsidRPr="001C652C">
        <w:rPr>
          <w:rFonts w:ascii="微軟正黑體" w:eastAsia="微軟正黑體" w:hAnsi="微軟正黑體" w:hint="eastAsia"/>
        </w:rPr>
        <w:t>•</w:t>
      </w:r>
      <w:r w:rsidRPr="001C652C">
        <w:rPr>
          <w:rFonts w:ascii="微軟正黑體" w:eastAsia="微軟正黑體" w:hAnsi="微軟正黑體"/>
        </w:rPr>
        <w:t xml:space="preserve"> Profit Sharing : Allocating bonuses from profits based on company charter tied to</w:t>
      </w:r>
      <w:r>
        <w:rPr>
          <w:rFonts w:ascii="微軟正黑體" w:eastAsia="微軟正黑體" w:hAnsi="微軟正黑體" w:hint="eastAsia"/>
        </w:rPr>
        <w:t xml:space="preserve"> </w:t>
      </w:r>
      <w:r w:rsidRPr="001C652C">
        <w:rPr>
          <w:rFonts w:ascii="微軟正黑體" w:eastAsia="微軟正黑體" w:hAnsi="微軟正黑體"/>
        </w:rPr>
        <w:t>company business result, team performance, and individual outcomes.</w:t>
      </w:r>
    </w:p>
    <w:p w:rsidR="001C652C" w:rsidRPr="001C652C" w:rsidRDefault="001C652C" w:rsidP="001C652C">
      <w:pPr>
        <w:pStyle w:val="a7"/>
        <w:rPr>
          <w:rFonts w:ascii="微軟正黑體" w:eastAsia="微軟正黑體" w:hAnsi="微軟正黑體"/>
        </w:rPr>
      </w:pPr>
      <w:r w:rsidRPr="001C652C">
        <w:rPr>
          <w:rFonts w:ascii="微軟正黑體" w:eastAsia="微軟正黑體" w:hAnsi="微軟正黑體" w:hint="eastAsia"/>
        </w:rPr>
        <w:t>•</w:t>
      </w:r>
      <w:r w:rsidRPr="001C652C">
        <w:rPr>
          <w:rFonts w:ascii="微軟正黑體" w:eastAsia="微軟正黑體" w:hAnsi="微軟正黑體"/>
        </w:rPr>
        <w:t xml:space="preserve"> Employee Stock Ownership Trust: The program makes employees to contribute a</w:t>
      </w:r>
      <w:r>
        <w:rPr>
          <w:rFonts w:ascii="微軟正黑體" w:eastAsia="微軟正黑體" w:hAnsi="微軟正黑體" w:hint="eastAsia"/>
        </w:rPr>
        <w:t xml:space="preserve"> </w:t>
      </w:r>
      <w:r w:rsidRPr="001C652C">
        <w:rPr>
          <w:rFonts w:ascii="微軟正黑體" w:eastAsia="微軟正黑體" w:hAnsi="微軟正黑體"/>
        </w:rPr>
        <w:t>certain percentage of salary to purchase stocks, and the Company pay additional</w:t>
      </w:r>
      <w:r>
        <w:rPr>
          <w:rFonts w:ascii="微軟正黑體" w:eastAsia="微軟正黑體" w:hAnsi="微軟正黑體" w:hint="eastAsia"/>
        </w:rPr>
        <w:t xml:space="preserve"> </w:t>
      </w:r>
      <w:r w:rsidRPr="001C652C">
        <w:rPr>
          <w:rFonts w:ascii="微軟正黑體" w:eastAsia="微軟正黑體" w:hAnsi="微軟正黑體"/>
        </w:rPr>
        <w:t>contribution to purchase stocks for employee (limited to the Taiwan region).</w:t>
      </w:r>
    </w:p>
    <w:p w:rsidR="001C652C" w:rsidRDefault="001C652C" w:rsidP="001C652C">
      <w:pPr>
        <w:pStyle w:val="a7"/>
        <w:rPr>
          <w:rFonts w:ascii="微軟正黑體" w:eastAsia="微軟正黑體" w:hAnsi="微軟正黑體"/>
        </w:rPr>
      </w:pPr>
    </w:p>
    <w:p w:rsidR="001C652C" w:rsidRDefault="001C652C" w:rsidP="001C652C">
      <w:pPr>
        <w:pStyle w:val="a7"/>
        <w:rPr>
          <w:rFonts w:ascii="微軟正黑體" w:eastAsia="微軟正黑體" w:hAnsi="微軟正黑體"/>
        </w:rPr>
      </w:pPr>
      <w:r w:rsidRPr="001C652C">
        <w:rPr>
          <w:rFonts w:ascii="微軟正黑體" w:eastAsia="微軟正黑體" w:hAnsi="微軟正黑體"/>
        </w:rPr>
        <w:t>According to the latest data disclosed by</w:t>
      </w:r>
      <w:r>
        <w:rPr>
          <w:rFonts w:ascii="微軟正黑體" w:eastAsia="微軟正黑體" w:hAnsi="微軟正黑體"/>
        </w:rPr>
        <w:t xml:space="preserve"> the Taiwan Stock Exchange, the GUC</w:t>
      </w:r>
      <w:r w:rsidRPr="001C652C">
        <w:rPr>
          <w:rFonts w:ascii="微軟正黑體" w:eastAsia="微軟正黑體" w:hAnsi="微軟正黑體"/>
        </w:rPr>
        <w:t>'s compensation ranks among the top in the semiconductor industry among</w:t>
      </w:r>
      <w:r>
        <w:rPr>
          <w:rFonts w:ascii="微軟正黑體" w:eastAsia="微軟正黑體" w:hAnsi="微軟正黑體"/>
        </w:rPr>
        <w:t xml:space="preserve"> </w:t>
      </w:r>
      <w:r w:rsidRPr="001C652C">
        <w:rPr>
          <w:rFonts w:ascii="微軟正黑體" w:eastAsia="微軟正黑體" w:hAnsi="微軟正黑體"/>
        </w:rPr>
        <w:t xml:space="preserve">full-time employees not in managerial positions. </w:t>
      </w:r>
    </w:p>
    <w:p w:rsidR="00B74B6A" w:rsidRDefault="001C652C" w:rsidP="001C652C">
      <w:pPr>
        <w:pStyle w:val="a7"/>
        <w:rPr>
          <w:rFonts w:ascii="微軟正黑體" w:eastAsia="微軟正黑體" w:hAnsi="微軟正黑體"/>
        </w:rPr>
      </w:pPr>
      <w:r w:rsidRPr="001C652C">
        <w:rPr>
          <w:rFonts w:ascii="微軟正黑體" w:eastAsia="微軟正黑體" w:hAnsi="微軟正黑體"/>
        </w:rPr>
        <w:lastRenderedPageBreak/>
        <w:t>For the latest data, please refer to the"</w:t>
      </w:r>
      <w:r>
        <w:rPr>
          <w:rFonts w:ascii="微軟正黑體" w:eastAsia="微軟正黑體" w:hAnsi="微軟正黑體"/>
        </w:rPr>
        <w:t xml:space="preserve"> </w:t>
      </w:r>
      <w:r w:rsidRPr="001C652C">
        <w:rPr>
          <w:rFonts w:ascii="微軟正黑體" w:eastAsia="微軟正黑體" w:hAnsi="微軟正黑體"/>
        </w:rPr>
        <w:t>Corporate Governance" section under the Taiwan Stock Exchange's Market Observation</w:t>
      </w:r>
      <w:r>
        <w:rPr>
          <w:rFonts w:ascii="微軟正黑體" w:eastAsia="微軟正黑體" w:hAnsi="微軟正黑體"/>
        </w:rPr>
        <w:t xml:space="preserve"> </w:t>
      </w:r>
      <w:r w:rsidRPr="001C652C">
        <w:rPr>
          <w:rFonts w:ascii="微軟正黑體" w:eastAsia="微軟正黑體" w:hAnsi="微軟正黑體"/>
        </w:rPr>
        <w:t>Post System for relevant information on employee benefits and compensation statistics.</w:t>
      </w:r>
    </w:p>
    <w:p w:rsidR="000A2975" w:rsidRPr="001C652C" w:rsidRDefault="000A2975" w:rsidP="000A2975">
      <w:pPr>
        <w:pStyle w:val="a7"/>
        <w:ind w:leftChars="0" w:left="720"/>
        <w:rPr>
          <w:rFonts w:ascii="微軟正黑體" w:eastAsia="微軟正黑體" w:hAnsi="微軟正黑體"/>
        </w:rPr>
      </w:pPr>
    </w:p>
    <w:p w:rsidR="001C652C" w:rsidRDefault="001C652C" w:rsidP="000A2975">
      <w:pPr>
        <w:pStyle w:val="a7"/>
        <w:ind w:leftChars="0" w:left="720"/>
        <w:rPr>
          <w:rFonts w:ascii="微軟正黑體" w:eastAsia="微軟正黑體" w:hAnsi="微軟正黑體"/>
          <w:b/>
          <w:sz w:val="28"/>
          <w:u w:val="single"/>
        </w:rPr>
      </w:pPr>
      <w:r w:rsidRPr="001C652C">
        <w:rPr>
          <w:rFonts w:ascii="微軟正黑體" w:eastAsia="微軟正黑體" w:hAnsi="微軟正黑體"/>
          <w:b/>
          <w:sz w:val="28"/>
          <w:u w:val="single"/>
        </w:rPr>
        <w:t>Employee Stock Ownership Trust</w:t>
      </w:r>
    </w:p>
    <w:p w:rsidR="001C652C" w:rsidRPr="001C652C" w:rsidRDefault="001C652C" w:rsidP="001C652C">
      <w:pPr>
        <w:pStyle w:val="a7"/>
        <w:rPr>
          <w:rFonts w:ascii="微軟正黑體" w:eastAsia="微軟正黑體" w:hAnsi="微軟正黑體"/>
        </w:rPr>
      </w:pPr>
      <w:r w:rsidRPr="001C652C">
        <w:rPr>
          <w:rFonts w:ascii="微軟正黑體" w:eastAsia="微軟正黑體" w:hAnsi="微軟正黑體"/>
        </w:rPr>
        <w:t>To enhance the cohesion between employees' engagement and the Company's business</w:t>
      </w:r>
      <w:r>
        <w:rPr>
          <w:rFonts w:ascii="微軟正黑體" w:eastAsia="微軟正黑體" w:hAnsi="微軟正黑體"/>
        </w:rPr>
        <w:t xml:space="preserve"> </w:t>
      </w:r>
      <w:r w:rsidRPr="001C652C">
        <w:rPr>
          <w:rFonts w:ascii="微軟正黑體" w:eastAsia="微軟正黑體" w:hAnsi="微軟正黑體"/>
        </w:rPr>
        <w:t>outcomes, GUC established an Employee Stock Ownership Trust (ESOT) in Taiwan</w:t>
      </w:r>
      <w:r>
        <w:rPr>
          <w:rFonts w:ascii="微軟正黑體" w:eastAsia="微軟正黑體" w:hAnsi="微軟正黑體"/>
        </w:rPr>
        <w:t xml:space="preserve"> </w:t>
      </w:r>
      <w:r w:rsidRPr="001C652C">
        <w:rPr>
          <w:rFonts w:ascii="微軟正黑體" w:eastAsia="微軟正黑體" w:hAnsi="微軟正黑體"/>
        </w:rPr>
        <w:t>since 2011, initiating the program which allows employees to voluntarily participate.</w:t>
      </w:r>
      <w:bookmarkStart w:id="0" w:name="_GoBack"/>
      <w:bookmarkEnd w:id="0"/>
      <w:r w:rsidRPr="001C652C">
        <w:rPr>
          <w:rFonts w:ascii="微軟正黑體" w:eastAsia="微軟正黑體" w:hAnsi="微軟正黑體"/>
        </w:rPr>
        <w:t xml:space="preserve"> </w:t>
      </w:r>
      <w:r w:rsidRPr="001C652C">
        <w:rPr>
          <w:rFonts w:ascii="微軟正黑體" w:eastAsia="微軟正黑體" w:hAnsi="微軟正黑體"/>
        </w:rPr>
        <w:t>Through this system, a specific amount (Employee Contribution) is contributed from each</w:t>
      </w:r>
      <w:r>
        <w:rPr>
          <w:rFonts w:ascii="微軟正黑體" w:eastAsia="微軟正黑體" w:hAnsi="微軟正黑體"/>
        </w:rPr>
        <w:t xml:space="preserve"> </w:t>
      </w:r>
      <w:r w:rsidRPr="001C652C">
        <w:rPr>
          <w:rFonts w:ascii="微軟正黑體" w:eastAsia="微軟正黑體" w:hAnsi="微軟正黑體"/>
        </w:rPr>
        <w:t>individual's monthly salary, which is matched by the Company (Company Contribution)</w:t>
      </w:r>
      <w:r w:rsidRPr="001C652C">
        <w:rPr>
          <w:rFonts w:ascii="微軟正黑體" w:eastAsia="微軟正黑體" w:hAnsi="微軟正黑體"/>
        </w:rPr>
        <w:t xml:space="preserve"> </w:t>
      </w:r>
      <w:r w:rsidRPr="001C652C">
        <w:rPr>
          <w:rFonts w:ascii="微軟正黑體" w:eastAsia="微軟正黑體" w:hAnsi="微軟正黑體"/>
        </w:rPr>
        <w:t>and jointly invested in regular intervals by a designated bank through a trust mechanism.</w:t>
      </w:r>
    </w:p>
    <w:p w:rsidR="000A2975" w:rsidRDefault="001C652C" w:rsidP="001C652C">
      <w:pPr>
        <w:pStyle w:val="a7"/>
        <w:rPr>
          <w:rFonts w:ascii="微軟正黑體" w:eastAsia="微軟正黑體" w:hAnsi="微軟正黑體"/>
        </w:rPr>
      </w:pPr>
      <w:r w:rsidRPr="001C652C">
        <w:rPr>
          <w:rFonts w:ascii="微軟正黑體" w:eastAsia="微軟正黑體" w:hAnsi="微軟正黑體"/>
        </w:rPr>
        <w:t>This program allows employees to hold company stocks and share the business</w:t>
      </w:r>
      <w:r>
        <w:rPr>
          <w:rFonts w:ascii="微軟正黑體" w:eastAsia="微軟正黑體" w:hAnsi="微軟正黑體"/>
        </w:rPr>
        <w:t xml:space="preserve"> </w:t>
      </w:r>
      <w:r w:rsidRPr="001C652C">
        <w:rPr>
          <w:rFonts w:ascii="微軟正黑體" w:eastAsia="微軟正黑體" w:hAnsi="微軟正黑體"/>
        </w:rPr>
        <w:t>achievements.</w:t>
      </w:r>
    </w:p>
    <w:p w:rsidR="001C652C" w:rsidRDefault="001C652C" w:rsidP="001C652C">
      <w:pPr>
        <w:pStyle w:val="a7"/>
        <w:ind w:leftChars="0" w:left="720"/>
        <w:rPr>
          <w:rFonts w:ascii="微軟正黑體" w:eastAsia="微軟正黑體" w:hAnsi="微軟正黑體"/>
        </w:rPr>
      </w:pPr>
    </w:p>
    <w:p w:rsidR="000A2975" w:rsidRPr="00B74B6A" w:rsidRDefault="001C652C" w:rsidP="001C652C">
      <w:pPr>
        <w:pStyle w:val="a7"/>
        <w:rPr>
          <w:rFonts w:ascii="微軟正黑體" w:eastAsia="微軟正黑體" w:hAnsi="微軟正黑體"/>
        </w:rPr>
      </w:pPr>
      <w:r w:rsidRPr="001C652C">
        <w:rPr>
          <w:rFonts w:ascii="微軟正黑體" w:eastAsia="微軟正黑體" w:hAnsi="微軟正黑體"/>
        </w:rPr>
        <w:t>The voluntary participation rate in the Employee Stock Ownership Trust program has</w:t>
      </w:r>
      <w:r>
        <w:rPr>
          <w:rFonts w:ascii="微軟正黑體" w:eastAsia="微軟正黑體" w:hAnsi="微軟正黑體"/>
        </w:rPr>
        <w:t xml:space="preserve"> </w:t>
      </w:r>
      <w:r w:rsidRPr="001C652C">
        <w:rPr>
          <w:rFonts w:ascii="微軟正黑體" w:eastAsia="微軟正黑體" w:hAnsi="微軟正黑體"/>
        </w:rPr>
        <w:t xml:space="preserve">continued to grow steadily, indicating that </w:t>
      </w:r>
      <w:r w:rsidRPr="001C652C">
        <w:rPr>
          <w:rFonts w:ascii="微軟正黑體" w:eastAsia="微軟正黑體" w:hAnsi="微軟正黑體"/>
        </w:rPr>
        <w:lastRenderedPageBreak/>
        <w:t>employees have a high level of confidence of</w:t>
      </w:r>
      <w:r>
        <w:rPr>
          <w:rFonts w:ascii="微軟正黑體" w:eastAsia="微軟正黑體" w:hAnsi="微軟正黑體"/>
        </w:rPr>
        <w:t xml:space="preserve"> </w:t>
      </w:r>
      <w:r w:rsidRPr="001C652C">
        <w:rPr>
          <w:rFonts w:ascii="微軟正黑體" w:eastAsia="微軟正黑體" w:hAnsi="微軟正黑體"/>
        </w:rPr>
        <w:t xml:space="preserve">both this benefit system and the </w:t>
      </w:r>
      <w:r>
        <w:rPr>
          <w:rFonts w:ascii="微軟正黑體" w:eastAsia="微軟正黑體" w:hAnsi="微軟正黑體"/>
        </w:rPr>
        <w:t>GUC</w:t>
      </w:r>
      <w:r w:rsidRPr="001C652C">
        <w:rPr>
          <w:rFonts w:ascii="微軟正黑體" w:eastAsia="微軟正黑體" w:hAnsi="微軟正黑體"/>
        </w:rPr>
        <w:t>s operational prospects.</w:t>
      </w:r>
    </w:p>
    <w:sectPr w:rsidR="000A2975" w:rsidRPr="00B74B6A">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B6A" w:rsidRDefault="00B74B6A" w:rsidP="00B74B6A">
      <w:r>
        <w:separator/>
      </w:r>
    </w:p>
  </w:endnote>
  <w:endnote w:type="continuationSeparator" w:id="0">
    <w:p w:rsidR="00B74B6A" w:rsidRDefault="00B74B6A" w:rsidP="00B74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B6A" w:rsidRDefault="00B74B6A" w:rsidP="00B74B6A">
      <w:r>
        <w:separator/>
      </w:r>
    </w:p>
  </w:footnote>
  <w:footnote w:type="continuationSeparator" w:id="0">
    <w:p w:rsidR="00B74B6A" w:rsidRDefault="00B74B6A" w:rsidP="00B74B6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59734A"/>
    <w:multiLevelType w:val="hybridMultilevel"/>
    <w:tmpl w:val="7D9AE912"/>
    <w:lvl w:ilvl="0" w:tplc="3E7A316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AFE"/>
    <w:rsid w:val="000A2975"/>
    <w:rsid w:val="001C652C"/>
    <w:rsid w:val="001E5562"/>
    <w:rsid w:val="001F10DF"/>
    <w:rsid w:val="00253AFE"/>
    <w:rsid w:val="00626EBA"/>
    <w:rsid w:val="00630F35"/>
    <w:rsid w:val="006C0503"/>
    <w:rsid w:val="00882265"/>
    <w:rsid w:val="009B217B"/>
    <w:rsid w:val="00B74B6A"/>
    <w:rsid w:val="00C90E96"/>
    <w:rsid w:val="00D347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5D55BA"/>
  <w15:chartTrackingRefBased/>
  <w15:docId w15:val="{ACF00520-0C79-4D9B-8220-4FF0599E0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4B6A"/>
    <w:pPr>
      <w:tabs>
        <w:tab w:val="center" w:pos="4153"/>
        <w:tab w:val="right" w:pos="8306"/>
      </w:tabs>
      <w:snapToGrid w:val="0"/>
    </w:pPr>
    <w:rPr>
      <w:sz w:val="20"/>
      <w:szCs w:val="20"/>
    </w:rPr>
  </w:style>
  <w:style w:type="character" w:customStyle="1" w:styleId="a4">
    <w:name w:val="頁首 字元"/>
    <w:basedOn w:val="a0"/>
    <w:link w:val="a3"/>
    <w:uiPriority w:val="99"/>
    <w:rsid w:val="00B74B6A"/>
    <w:rPr>
      <w:sz w:val="20"/>
      <w:szCs w:val="20"/>
    </w:rPr>
  </w:style>
  <w:style w:type="paragraph" w:styleId="a5">
    <w:name w:val="footer"/>
    <w:basedOn w:val="a"/>
    <w:link w:val="a6"/>
    <w:uiPriority w:val="99"/>
    <w:unhideWhenUsed/>
    <w:rsid w:val="00B74B6A"/>
    <w:pPr>
      <w:tabs>
        <w:tab w:val="center" w:pos="4153"/>
        <w:tab w:val="right" w:pos="8306"/>
      </w:tabs>
      <w:snapToGrid w:val="0"/>
    </w:pPr>
    <w:rPr>
      <w:sz w:val="20"/>
      <w:szCs w:val="20"/>
    </w:rPr>
  </w:style>
  <w:style w:type="character" w:customStyle="1" w:styleId="a6">
    <w:name w:val="頁尾 字元"/>
    <w:basedOn w:val="a0"/>
    <w:link w:val="a5"/>
    <w:uiPriority w:val="99"/>
    <w:rsid w:val="00B74B6A"/>
    <w:rPr>
      <w:sz w:val="20"/>
      <w:szCs w:val="20"/>
    </w:rPr>
  </w:style>
  <w:style w:type="paragraph" w:styleId="a7">
    <w:name w:val="List Paragraph"/>
    <w:basedOn w:val="a"/>
    <w:uiPriority w:val="34"/>
    <w:qFormat/>
    <w:rsid w:val="00B74B6A"/>
    <w:pPr>
      <w:ind w:leftChars="200" w:left="480"/>
    </w:pPr>
  </w:style>
  <w:style w:type="table" w:styleId="a8">
    <w:name w:val="Table Grid"/>
    <w:basedOn w:val="a1"/>
    <w:uiPriority w:val="39"/>
    <w:rsid w:val="00B74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1394</TotalTime>
  <Pages>5</Pages>
  <Words>452</Words>
  <Characters>2583</Characters>
  <Application>Microsoft Office Word</Application>
  <DocSecurity>0</DocSecurity>
  <Lines>21</Lines>
  <Paragraphs>6</Paragraphs>
  <ScaleCrop>false</ScaleCrop>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oliver.he@W10V06-014</dc:creator>
  <cp:keywords/>
  <dc:description/>
  <cp:lastModifiedBy>oliver.he@W10V06-014</cp:lastModifiedBy>
  <cp:revision>12</cp:revision>
  <dcterms:created xsi:type="dcterms:W3CDTF">2025-01-13T05:49:00Z</dcterms:created>
  <dcterms:modified xsi:type="dcterms:W3CDTF">2025-04-13T10:26:00Z</dcterms:modified>
</cp:coreProperties>
</file>