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7B" w:rsidRPr="00D34773" w:rsidRDefault="00D34773">
      <w:pPr>
        <w:rPr>
          <w:rFonts w:ascii="微軟正黑體" w:eastAsia="微軟正黑體" w:hAnsi="微軟正黑體"/>
        </w:rPr>
      </w:pPr>
      <w:r w:rsidRPr="00D34773">
        <w:rPr>
          <w:rFonts w:ascii="微軟正黑體" w:eastAsia="微軟正黑體" w:hAnsi="微軟正黑體" w:hint="eastAsia"/>
        </w:rPr>
        <w:t>版型說明：</w:t>
      </w:r>
    </w:p>
    <w:p w:rsidR="00D34773" w:rsidRDefault="00D34773">
      <w:pPr>
        <w:rPr>
          <w:rFonts w:ascii="微軟正黑體" w:eastAsia="微軟正黑體" w:hAnsi="微軟正黑體"/>
        </w:rPr>
      </w:pPr>
      <w:r>
        <w:rPr>
          <w:rFonts w:ascii="微軟正黑體" w:eastAsia="微軟正黑體" w:hAnsi="微軟正黑體" w:hint="eastAsia"/>
        </w:rPr>
        <w:t>外層</w:t>
      </w:r>
      <w:r w:rsidR="00B74B6A">
        <w:rPr>
          <w:rFonts w:ascii="微軟正黑體" w:eastAsia="微軟正黑體" w:hAnsi="微軟正黑體" w:hint="eastAsia"/>
        </w:rPr>
        <w:t>(白)</w:t>
      </w:r>
      <w:r>
        <w:rPr>
          <w:rFonts w:ascii="微軟正黑體" w:eastAsia="微軟正黑體" w:hAnsi="微軟正黑體" w:hint="eastAsia"/>
        </w:rPr>
        <w:t>：簡易文案，標題</w:t>
      </w:r>
      <w:r w:rsidR="00B74B6A">
        <w:rPr>
          <w:rFonts w:ascii="微軟正黑體" w:eastAsia="微軟正黑體" w:hAnsi="微軟正黑體" w:hint="eastAsia"/>
        </w:rPr>
        <w:t>及短敘述</w:t>
      </w:r>
      <w:r>
        <w:rPr>
          <w:rFonts w:ascii="微軟正黑體" w:eastAsia="微軟正黑體" w:hAnsi="微軟正黑體" w:hint="eastAsia"/>
        </w:rPr>
        <w:t>，使用者可點選「了解更多」進入內層</w:t>
      </w:r>
    </w:p>
    <w:p w:rsidR="00D34773" w:rsidRDefault="00D34773">
      <w:pPr>
        <w:rPr>
          <w:rFonts w:ascii="微軟正黑體" w:eastAsia="微軟正黑體" w:hAnsi="微軟正黑體"/>
        </w:rPr>
      </w:pPr>
      <w:r>
        <w:rPr>
          <w:rFonts w:ascii="微軟正黑體" w:eastAsia="微軟正黑體" w:hAnsi="微軟正黑體" w:hint="eastAsia"/>
        </w:rPr>
        <w:t>內層</w:t>
      </w:r>
      <w:r w:rsidR="00B74B6A">
        <w:rPr>
          <w:rFonts w:ascii="微軟正黑體" w:eastAsia="微軟正黑體" w:hAnsi="微軟正黑體"/>
        </w:rPr>
        <w:t>(</w:t>
      </w:r>
      <w:r w:rsidR="00B74B6A">
        <w:rPr>
          <w:rFonts w:ascii="微軟正黑體" w:eastAsia="微軟正黑體" w:hAnsi="微軟正黑體" w:hint="eastAsia"/>
        </w:rPr>
        <w:t>藍)</w:t>
      </w:r>
      <w:r>
        <w:rPr>
          <w:rFonts w:ascii="微軟正黑體" w:eastAsia="微軟正黑體" w:hAnsi="微軟正黑體" w:hint="eastAsia"/>
        </w:rPr>
        <w:t>：</w:t>
      </w:r>
      <w:r w:rsidR="00B74B6A">
        <w:rPr>
          <w:rFonts w:ascii="微軟正黑體" w:eastAsia="微軟正黑體" w:hAnsi="微軟正黑體" w:hint="eastAsia"/>
        </w:rPr>
        <w:t>頁面內視窗顯示</w:t>
      </w:r>
      <w:r>
        <w:rPr>
          <w:rFonts w:ascii="微軟正黑體" w:eastAsia="微軟正黑體" w:hAnsi="微軟正黑體" w:hint="eastAsia"/>
        </w:rPr>
        <w:t>詳細的圖文內容</w:t>
      </w:r>
      <w:r w:rsidR="00B74B6A">
        <w:rPr>
          <w:rFonts w:ascii="微軟正黑體" w:eastAsia="微軟正黑體" w:hAnsi="微軟正黑體" w:hint="eastAsia"/>
        </w:rPr>
        <w:t>，可點選「x」回外層</w:t>
      </w:r>
    </w:p>
    <w:p w:rsidR="00B74B6A" w:rsidRDefault="00D34773">
      <w:pPr>
        <w:rPr>
          <w:rFonts w:ascii="微軟正黑體" w:eastAsia="微軟正黑體" w:hAnsi="微軟正黑體"/>
        </w:rPr>
      </w:pPr>
      <w:r w:rsidRPr="00D34773">
        <w:rPr>
          <w:rFonts w:ascii="微軟正黑體" w:eastAsia="微軟正黑體" w:hAnsi="微軟正黑體"/>
          <w:noProof/>
        </w:rPr>
        <w:drawing>
          <wp:inline distT="0" distB="0" distL="0" distR="0" wp14:anchorId="119E6179" wp14:editId="2D7B2041">
            <wp:extent cx="3848100" cy="2495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8100" cy="2495550"/>
                    </a:xfrm>
                    <a:prstGeom prst="rect">
                      <a:avLst/>
                    </a:prstGeom>
                  </pic:spPr>
                </pic:pic>
              </a:graphicData>
            </a:graphic>
          </wp:inline>
        </w:drawing>
      </w:r>
    </w:p>
    <w:p w:rsidR="00B74B6A" w:rsidRDefault="00B74B6A">
      <w:pPr>
        <w:widowControl/>
        <w:rPr>
          <w:rFonts w:ascii="微軟正黑體" w:eastAsia="微軟正黑體" w:hAnsi="微軟正黑體"/>
        </w:rPr>
      </w:pPr>
      <w:r>
        <w:rPr>
          <w:rFonts w:ascii="微軟正黑體" w:eastAsia="微軟正黑體" w:hAnsi="微軟正黑體"/>
        </w:rPr>
        <w:br w:type="page"/>
      </w:r>
    </w:p>
    <w:p w:rsidR="00D34773" w:rsidRDefault="00B74B6A" w:rsidP="00B74B6A">
      <w:pPr>
        <w:pStyle w:val="a7"/>
        <w:numPr>
          <w:ilvl w:val="0"/>
          <w:numId w:val="1"/>
        </w:numPr>
        <w:ind w:leftChars="0"/>
        <w:rPr>
          <w:rFonts w:ascii="微軟正黑體" w:eastAsia="微軟正黑體" w:hAnsi="微軟正黑體"/>
        </w:rPr>
      </w:pPr>
      <w:r w:rsidRPr="00B74B6A">
        <w:rPr>
          <w:rFonts w:ascii="微軟正黑體" w:eastAsia="微軟正黑體" w:hAnsi="微軟正黑體" w:hint="eastAsia"/>
        </w:rPr>
        <w:lastRenderedPageBreak/>
        <w:t>外層</w:t>
      </w:r>
    </w:p>
    <w:p w:rsid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標題：</w:t>
      </w:r>
      <w:r w:rsidR="00FC7176">
        <w:rPr>
          <w:rFonts w:ascii="微軟正黑體" w:eastAsia="微軟正黑體" w:hAnsi="微軟正黑體"/>
        </w:rPr>
        <w:t>Life-Encompassing Benefits</w:t>
      </w:r>
    </w:p>
    <w:p w:rsid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短敘述：</w:t>
      </w:r>
      <w:r w:rsidR="00FC7176">
        <w:rPr>
          <w:rFonts w:ascii="微軟正黑體" w:eastAsia="微軟正黑體" w:hAnsi="微軟正黑體" w:hint="eastAsia"/>
        </w:rPr>
        <w:t>G</w:t>
      </w:r>
      <w:r w:rsidR="00FC7176">
        <w:rPr>
          <w:rFonts w:ascii="微軟正黑體" w:eastAsia="微軟正黑體" w:hAnsi="微軟正黑體"/>
        </w:rPr>
        <w:t xml:space="preserve">UC </w:t>
      </w:r>
      <w:r w:rsidR="00FC7176" w:rsidRPr="00FC7176">
        <w:rPr>
          <w:rFonts w:ascii="微軟正黑體" w:eastAsia="微軟正黑體" w:hAnsi="微軟正黑體"/>
        </w:rPr>
        <w:t>values its talents and places eve</w:t>
      </w:r>
      <w:r w:rsidR="00FC7176">
        <w:rPr>
          <w:rFonts w:ascii="微軟正黑體" w:eastAsia="微軟正黑體" w:hAnsi="微軟正黑體"/>
        </w:rPr>
        <w:t>n greater emphasis on employees</w:t>
      </w:r>
      <w:r w:rsidR="00FC7176">
        <w:rPr>
          <w:rFonts w:ascii="微軟正黑體" w:eastAsia="微軟正黑體" w:hAnsi="微軟正黑體" w:hint="eastAsia"/>
        </w:rPr>
        <w:t>’</w:t>
      </w:r>
      <w:r w:rsidR="00FC7176" w:rsidRPr="00FC7176">
        <w:rPr>
          <w:rFonts w:ascii="微軟正黑體" w:eastAsia="微軟正黑體" w:hAnsi="微軟正黑體"/>
        </w:rPr>
        <w:t>work-life balance. Through comprehensive benefits policies, we enable our employees to embrace every remarkable moment in their lives with ease and confidence.</w:t>
      </w:r>
    </w:p>
    <w:p w:rsidR="00FC7176" w:rsidRPr="00882265" w:rsidRDefault="00FC7176" w:rsidP="00B74B6A">
      <w:pPr>
        <w:pStyle w:val="a7"/>
        <w:ind w:leftChars="0" w:left="720"/>
        <w:rPr>
          <w:rFonts w:ascii="微軟正黑體" w:eastAsia="微軟正黑體" w:hAnsi="微軟正黑體"/>
        </w:rPr>
      </w:pPr>
    </w:p>
    <w:p w:rsidR="00B74B6A" w:rsidRDefault="00B74B6A" w:rsidP="00B74B6A">
      <w:pPr>
        <w:pStyle w:val="a7"/>
        <w:numPr>
          <w:ilvl w:val="0"/>
          <w:numId w:val="1"/>
        </w:numPr>
        <w:ind w:leftChars="0"/>
        <w:rPr>
          <w:rFonts w:ascii="微軟正黑體" w:eastAsia="微軟正黑體" w:hAnsi="微軟正黑體"/>
        </w:rPr>
      </w:pPr>
      <w:r>
        <w:rPr>
          <w:rFonts w:ascii="微軟正黑體" w:eastAsia="微軟正黑體" w:hAnsi="微軟正黑體" w:hint="eastAsia"/>
        </w:rPr>
        <w:t>內層</w:t>
      </w:r>
    </w:p>
    <w:p w:rsidR="00FC7176" w:rsidRDefault="00FC7176" w:rsidP="000A2975">
      <w:pPr>
        <w:pStyle w:val="a7"/>
        <w:ind w:leftChars="0" w:left="720"/>
        <w:rPr>
          <w:rFonts w:ascii="微軟正黑體" w:eastAsia="微軟正黑體" w:hAnsi="微軟正黑體"/>
          <w:b/>
          <w:sz w:val="28"/>
          <w:u w:val="single"/>
        </w:rPr>
      </w:pPr>
      <w:r w:rsidRPr="00FC7176">
        <w:rPr>
          <w:rFonts w:ascii="微軟正黑體" w:eastAsia="微軟正黑體" w:hAnsi="微軟正黑體"/>
          <w:b/>
          <w:sz w:val="28"/>
          <w:u w:val="single"/>
        </w:rPr>
        <w:t>Exceptional Benefits</w:t>
      </w:r>
    </w:p>
    <w:p w:rsidR="000A2975" w:rsidRDefault="00FC7176" w:rsidP="000A2975">
      <w:pPr>
        <w:pStyle w:val="a7"/>
        <w:ind w:leftChars="0" w:left="720"/>
        <w:rPr>
          <w:rFonts w:ascii="微軟正黑體" w:eastAsia="微軟正黑體" w:hAnsi="微軟正黑體"/>
        </w:rPr>
      </w:pPr>
      <w:r w:rsidRPr="00FC7176">
        <w:rPr>
          <w:rFonts w:ascii="微軟正黑體" w:eastAsia="微軟正黑體" w:hAnsi="微軟正黑體"/>
        </w:rPr>
        <w:t xml:space="preserve">GUC places a high priority on the health and well-being of its employees. In addition to adhering to local regulatory standards, the company offers benefits and leave policies that exceed legal requirements. For instance, at its Taiwan office, GUC provides comprehensive benefits, including group commercial insurance, enhanced leave policies, retirement pensions, emergency overseas travel assistance, wedding and maternity bonuses, funeral subsidies, birthday gifts, year-end party allowances, and discounts at partner stores. The company also organizes occasional group outings, travel, and club activities, helping employees achieve a </w:t>
      </w:r>
      <w:r w:rsidRPr="00FC7176">
        <w:rPr>
          <w:rFonts w:ascii="微軟正黑體" w:eastAsia="微軟正黑體" w:hAnsi="微軟正黑體"/>
        </w:rPr>
        <w:lastRenderedPageBreak/>
        <w:t>balance between work, personal life, and family. GUC hopes that during their careers here, employees can confidently embrace every remarkable moment in their lives.</w:t>
      </w:r>
    </w:p>
    <w:p w:rsidR="00FC7176" w:rsidRPr="000A2975" w:rsidRDefault="00FC7176" w:rsidP="000A2975">
      <w:pPr>
        <w:pStyle w:val="a7"/>
        <w:ind w:leftChars="0" w:left="720"/>
        <w:rPr>
          <w:rFonts w:ascii="微軟正黑體" w:eastAsia="微軟正黑體" w:hAnsi="微軟正黑體"/>
        </w:rPr>
      </w:pPr>
    </w:p>
    <w:p w:rsidR="00FC7176" w:rsidRDefault="00FC7176" w:rsidP="00FC7176">
      <w:pPr>
        <w:pStyle w:val="a7"/>
        <w:rPr>
          <w:rFonts w:ascii="微軟正黑體" w:eastAsia="微軟正黑體" w:hAnsi="微軟正黑體"/>
          <w:b/>
          <w:sz w:val="28"/>
          <w:u w:val="single"/>
        </w:rPr>
      </w:pPr>
      <w:r w:rsidRPr="00FC7176">
        <w:rPr>
          <w:rFonts w:ascii="微軟正黑體" w:eastAsia="微軟正黑體" w:hAnsi="微軟正黑體"/>
          <w:b/>
          <w:sz w:val="28"/>
          <w:u w:val="single"/>
        </w:rPr>
        <w:t>Leave and Attendance Policy Revised January 2022 Provides More PTO than Industry Average and Labor Laws</w:t>
      </w:r>
    </w:p>
    <w:p w:rsidR="00CF1E70" w:rsidRDefault="00FC7176" w:rsidP="00FC7176">
      <w:pPr>
        <w:pStyle w:val="a7"/>
        <w:rPr>
          <w:rFonts w:ascii="微軟正黑體" w:eastAsia="微軟正黑體" w:hAnsi="微軟正黑體"/>
        </w:rPr>
      </w:pPr>
      <w:r w:rsidRPr="00FC7176">
        <w:rPr>
          <w:rFonts w:ascii="微軟正黑體" w:eastAsia="微軟正黑體" w:hAnsi="微軟正黑體"/>
        </w:rPr>
        <w:t>GUC is committed to pro</w:t>
      </w:r>
      <w:bookmarkStart w:id="0" w:name="_GoBack"/>
      <w:bookmarkEnd w:id="0"/>
      <w:r w:rsidRPr="00FC7176">
        <w:rPr>
          <w:rFonts w:ascii="微軟正黑體" w:eastAsia="微軟正黑體" w:hAnsi="微軟正黑體"/>
        </w:rPr>
        <w:t>viding a supportive workplace that accommodates the family</w:t>
      </w:r>
      <w:r>
        <w:rPr>
          <w:rFonts w:ascii="微軟正黑體" w:eastAsia="微軟正黑體" w:hAnsi="微軟正黑體"/>
        </w:rPr>
        <w:t xml:space="preserve"> </w:t>
      </w:r>
      <w:r w:rsidRPr="00FC7176">
        <w:rPr>
          <w:rFonts w:ascii="微軟正黑體" w:eastAsia="微軟正黑體" w:hAnsi="微軟正黑體"/>
        </w:rPr>
        <w:t>care and maternity needs of our employees. Across all our global locations, we offer leave</w:t>
      </w:r>
      <w:r>
        <w:rPr>
          <w:rFonts w:ascii="微軟正黑體" w:eastAsia="微軟正黑體" w:hAnsi="微軟正黑體"/>
        </w:rPr>
        <w:t xml:space="preserve"> </w:t>
      </w:r>
      <w:r w:rsidRPr="00FC7176">
        <w:rPr>
          <w:rFonts w:ascii="微軟正黑體" w:eastAsia="微軟正黑體" w:hAnsi="微軟正黑體"/>
        </w:rPr>
        <w:t>policies that exceed local legal requirements. Taking Taiwan as an example, in addition to</w:t>
      </w:r>
      <w:r>
        <w:rPr>
          <w:rFonts w:ascii="微軟正黑體" w:eastAsia="微軟正黑體" w:hAnsi="微軟正黑體"/>
        </w:rPr>
        <w:t xml:space="preserve"> </w:t>
      </w:r>
      <w:r w:rsidRPr="00FC7176">
        <w:rPr>
          <w:rFonts w:ascii="微軟正黑體" w:eastAsia="微軟正黑體" w:hAnsi="微軟正黑體"/>
        </w:rPr>
        <w:t>statutory leave, we provide specific flexible leave of 7 days, 15 days of paid sick leave, 10</w:t>
      </w:r>
      <w:r>
        <w:rPr>
          <w:rFonts w:ascii="微軟正黑體" w:eastAsia="微軟正黑體" w:hAnsi="微軟正黑體"/>
        </w:rPr>
        <w:t xml:space="preserve"> </w:t>
      </w:r>
      <w:r w:rsidRPr="00FC7176">
        <w:rPr>
          <w:rFonts w:ascii="微軟正黑體" w:eastAsia="微軟正黑體" w:hAnsi="微軟正黑體"/>
        </w:rPr>
        <w:t>days of paternity examination leave and paternity leave, and 12 weeks of maternity leave.</w:t>
      </w:r>
      <w:r w:rsidRPr="00FC7176">
        <w:rPr>
          <w:rFonts w:ascii="微軟正黑體" w:eastAsia="微軟正黑體" w:hAnsi="微軟正黑體"/>
        </w:rPr>
        <w:t xml:space="preserve"> </w:t>
      </w:r>
      <w:r w:rsidRPr="00FC7176">
        <w:rPr>
          <w:rFonts w:ascii="微軟正黑體" w:eastAsia="微軟正黑體" w:hAnsi="微軟正黑體"/>
        </w:rPr>
        <w:t>During the childcare period, in addition to the option to apply for parental leave without as</w:t>
      </w:r>
      <w:r>
        <w:rPr>
          <w:rFonts w:ascii="微軟正黑體" w:eastAsia="微軟正黑體" w:hAnsi="微軟正黑體"/>
        </w:rPr>
        <w:t xml:space="preserve"> </w:t>
      </w:r>
      <w:r w:rsidRPr="00FC7176">
        <w:rPr>
          <w:rFonts w:ascii="微軟正黑體" w:eastAsia="微軟正黑體" w:hAnsi="微軟正黑體"/>
        </w:rPr>
        <w:t>permitted by law, the Company also offers a comprehensive leave management system.</w:t>
      </w:r>
      <w:r w:rsidRPr="00FC7176">
        <w:rPr>
          <w:rFonts w:ascii="微軟正黑體" w:eastAsia="微軟正黑體" w:hAnsi="微軟正黑體"/>
        </w:rPr>
        <w:t xml:space="preserve"> </w:t>
      </w:r>
      <w:r w:rsidRPr="00FC7176">
        <w:rPr>
          <w:rFonts w:ascii="微軟正黑體" w:eastAsia="微軟正黑體" w:hAnsi="微軟正黑體"/>
        </w:rPr>
        <w:t>This allows employees to use their leave more flexibly, ensuring peace of mind in caring</w:t>
      </w:r>
      <w:r>
        <w:rPr>
          <w:rFonts w:ascii="微軟正黑體" w:eastAsia="微軟正黑體" w:hAnsi="微軟正黑體"/>
        </w:rPr>
        <w:t xml:space="preserve"> </w:t>
      </w:r>
      <w:r w:rsidRPr="00FC7176">
        <w:rPr>
          <w:rFonts w:ascii="微軟正黑體" w:eastAsia="微軟正黑體" w:hAnsi="微軟正黑體"/>
        </w:rPr>
        <w:t>for newborns and supporting their family care needs.</w:t>
      </w:r>
    </w:p>
    <w:tbl>
      <w:tblPr>
        <w:tblStyle w:val="a8"/>
        <w:tblW w:w="0" w:type="auto"/>
        <w:tblInd w:w="720" w:type="dxa"/>
        <w:tblLook w:val="04A0" w:firstRow="1" w:lastRow="0" w:firstColumn="1" w:lastColumn="0" w:noHBand="0" w:noVBand="1"/>
      </w:tblPr>
      <w:tblGrid>
        <w:gridCol w:w="1969"/>
        <w:gridCol w:w="2268"/>
        <w:gridCol w:w="3339"/>
      </w:tblGrid>
      <w:tr w:rsidR="00CF1E70" w:rsidRPr="00CF1E70" w:rsidTr="00CF1E70">
        <w:tc>
          <w:tcPr>
            <w:tcW w:w="1969"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t xml:space="preserve">Superior to </w:t>
            </w:r>
            <w:r w:rsidRPr="00FC7176">
              <w:rPr>
                <w:rFonts w:ascii="微軟正黑體" w:eastAsia="微軟正黑體" w:hAnsi="微軟正黑體"/>
              </w:rPr>
              <w:lastRenderedPageBreak/>
              <w:t>Statutory Leave</w:t>
            </w:r>
          </w:p>
        </w:tc>
        <w:tc>
          <w:tcPr>
            <w:tcW w:w="2268"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lastRenderedPageBreak/>
              <w:t xml:space="preserve">Statutory </w:t>
            </w:r>
            <w:r w:rsidRPr="00FC7176">
              <w:rPr>
                <w:rFonts w:ascii="微軟正黑體" w:eastAsia="微軟正黑體" w:hAnsi="微軟正黑體"/>
              </w:rPr>
              <w:lastRenderedPageBreak/>
              <w:t>Standards</w:t>
            </w:r>
          </w:p>
        </w:tc>
        <w:tc>
          <w:tcPr>
            <w:tcW w:w="3339"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lastRenderedPageBreak/>
              <w:t>Content</w:t>
            </w:r>
          </w:p>
        </w:tc>
      </w:tr>
      <w:tr w:rsidR="00CF1E70" w:rsidRPr="00CF1E70" w:rsidTr="00CF1E70">
        <w:tc>
          <w:tcPr>
            <w:tcW w:w="1969"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lastRenderedPageBreak/>
              <w:t>National Holidays</w:t>
            </w:r>
          </w:p>
        </w:tc>
        <w:tc>
          <w:tcPr>
            <w:tcW w:w="2268"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t>12 days of national holidays each year.</w:t>
            </w:r>
          </w:p>
        </w:tc>
        <w:tc>
          <w:tcPr>
            <w:tcW w:w="3339"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t>7 days reserved for personal commemoration, available for flexible leave</w:t>
            </w:r>
            <w:r>
              <w:rPr>
                <w:rFonts w:ascii="微軟正黑體" w:eastAsia="微軟正黑體" w:hAnsi="微軟正黑體"/>
              </w:rPr>
              <w:t xml:space="preserve"> </w:t>
            </w:r>
            <w:r w:rsidRPr="00FC7176">
              <w:rPr>
                <w:rFonts w:ascii="微軟正黑體" w:eastAsia="微軟正黑體" w:hAnsi="微軟正黑體"/>
              </w:rPr>
              <w:t>arrangements.</w:t>
            </w:r>
          </w:p>
        </w:tc>
      </w:tr>
      <w:tr w:rsidR="00CF1E70" w:rsidRPr="00CF1E70" w:rsidTr="00CF1E70">
        <w:tc>
          <w:tcPr>
            <w:tcW w:w="1969"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t>Annual Leave</w:t>
            </w:r>
          </w:p>
        </w:tc>
        <w:tc>
          <w:tcPr>
            <w:tcW w:w="2268"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t>Employees who have served for at least 6 months but less than 1 year are entitled</w:t>
            </w:r>
            <w:r>
              <w:rPr>
                <w:rFonts w:ascii="微軟正黑體" w:eastAsia="微軟正黑體" w:hAnsi="微軟正黑體"/>
              </w:rPr>
              <w:t xml:space="preserve"> </w:t>
            </w:r>
            <w:r w:rsidRPr="00FC7176">
              <w:rPr>
                <w:rFonts w:ascii="微軟正黑體" w:eastAsia="微軟正黑體" w:hAnsi="微軟正黑體"/>
              </w:rPr>
              <w:t>to 3 days of special leave.</w:t>
            </w:r>
          </w:p>
        </w:tc>
        <w:tc>
          <w:tcPr>
            <w:tcW w:w="3339"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t>To accommodate the leave needs of new employees, they may request</w:t>
            </w:r>
            <w:r>
              <w:rPr>
                <w:rFonts w:ascii="微軟正黑體" w:eastAsia="微軟正黑體" w:hAnsi="微軟正黑體"/>
              </w:rPr>
              <w:t xml:space="preserve"> </w:t>
            </w:r>
            <w:r w:rsidRPr="00FC7176">
              <w:rPr>
                <w:rFonts w:ascii="微軟正黑體" w:eastAsia="微軟正黑體" w:hAnsi="微軟正黑體"/>
              </w:rPr>
              <w:t>leave immediately upon joining the Company for the current year based on</w:t>
            </w:r>
            <w:r>
              <w:rPr>
                <w:rFonts w:ascii="微軟正黑體" w:eastAsia="微軟正黑體" w:hAnsi="微軟正黑體"/>
              </w:rPr>
              <w:t xml:space="preserve"> </w:t>
            </w:r>
            <w:r w:rsidRPr="00FC7176">
              <w:rPr>
                <w:rFonts w:ascii="微軟正黑體" w:eastAsia="微軟正黑體" w:hAnsi="微軟正黑體"/>
              </w:rPr>
              <w:t>their proportion of service.</w:t>
            </w:r>
          </w:p>
        </w:tc>
      </w:tr>
      <w:tr w:rsidR="00CF1E70" w:rsidRPr="00CF1E70" w:rsidTr="00CF1E70">
        <w:tc>
          <w:tcPr>
            <w:tcW w:w="1969"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t>Sick Leave</w:t>
            </w:r>
          </w:p>
        </w:tc>
        <w:tc>
          <w:tcPr>
            <w:tcW w:w="2268"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t>30 days of half-paid sick leave throughout the year.</w:t>
            </w:r>
          </w:p>
        </w:tc>
        <w:tc>
          <w:tcPr>
            <w:tcW w:w="3339"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t>15 days of paid sick leave and 15 days of half-paid sick leave throughout</w:t>
            </w:r>
            <w:r>
              <w:rPr>
                <w:rFonts w:ascii="微軟正黑體" w:eastAsia="微軟正黑體" w:hAnsi="微軟正黑體"/>
              </w:rPr>
              <w:t xml:space="preserve"> </w:t>
            </w:r>
            <w:r w:rsidRPr="00FC7176">
              <w:rPr>
                <w:rFonts w:ascii="微軟正黑體" w:eastAsia="微軟正黑體" w:hAnsi="微軟正黑體"/>
              </w:rPr>
              <w:t>the year.</w:t>
            </w:r>
          </w:p>
        </w:tc>
      </w:tr>
      <w:tr w:rsidR="00CF1E70" w:rsidRPr="00CF1E70" w:rsidTr="00CF1E70">
        <w:tc>
          <w:tcPr>
            <w:tcW w:w="1969" w:type="dxa"/>
          </w:tcPr>
          <w:p w:rsidR="00CF1E70" w:rsidRPr="00CF1E70" w:rsidRDefault="00FC7176" w:rsidP="00CF1E70">
            <w:pPr>
              <w:rPr>
                <w:rFonts w:ascii="微軟正黑體" w:eastAsia="微軟正黑體" w:hAnsi="微軟正黑體"/>
              </w:rPr>
            </w:pPr>
            <w:r w:rsidRPr="00FC7176">
              <w:rPr>
                <w:rFonts w:ascii="微軟正黑體" w:eastAsia="微軟正黑體" w:hAnsi="微軟正黑體"/>
              </w:rPr>
              <w:t>Maternity Leave</w:t>
            </w:r>
          </w:p>
        </w:tc>
        <w:tc>
          <w:tcPr>
            <w:tcW w:w="2268"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t>Female employees are entitled to full-</w:t>
            </w:r>
            <w:r w:rsidRPr="00FC7176">
              <w:rPr>
                <w:rFonts w:ascii="微軟正黑體" w:eastAsia="微軟正黑體" w:hAnsi="微軟正黑體"/>
              </w:rPr>
              <w:lastRenderedPageBreak/>
              <w:t>paid maternity leave for 8 weeks, totaling 56</w:t>
            </w:r>
            <w:r>
              <w:rPr>
                <w:rFonts w:ascii="微軟正黑體" w:eastAsia="微軟正黑體" w:hAnsi="微軟正黑體"/>
              </w:rPr>
              <w:t xml:space="preserve"> </w:t>
            </w:r>
            <w:r w:rsidRPr="00FC7176">
              <w:rPr>
                <w:rFonts w:ascii="微軟正黑體" w:eastAsia="微軟正黑體" w:hAnsi="微軟正黑體"/>
              </w:rPr>
              <w:t>days.</w:t>
            </w:r>
          </w:p>
        </w:tc>
        <w:tc>
          <w:tcPr>
            <w:tcW w:w="3339"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lastRenderedPageBreak/>
              <w:t>Paid maternity leave for female employees can be extended to 12 weeks,</w:t>
            </w:r>
            <w:r w:rsidRPr="00FC7176">
              <w:rPr>
                <w:rFonts w:ascii="微軟正黑體" w:eastAsia="微軟正黑體" w:hAnsi="微軟正黑體"/>
              </w:rPr>
              <w:t xml:space="preserve"> </w:t>
            </w:r>
            <w:r w:rsidRPr="00FC7176">
              <w:rPr>
                <w:rFonts w:ascii="微軟正黑體" w:eastAsia="微軟正黑體" w:hAnsi="微軟正黑體"/>
              </w:rPr>
              <w:lastRenderedPageBreak/>
              <w:t>totaling 84 days.</w:t>
            </w:r>
          </w:p>
        </w:tc>
      </w:tr>
      <w:tr w:rsidR="00CF1E70" w:rsidRPr="00CF1E70" w:rsidTr="00CF1E70">
        <w:tc>
          <w:tcPr>
            <w:tcW w:w="1969"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lastRenderedPageBreak/>
              <w:t>Paternity Examination and</w:t>
            </w:r>
            <w:r>
              <w:rPr>
                <w:rFonts w:ascii="微軟正黑體" w:eastAsia="微軟正黑體" w:hAnsi="微軟正黑體"/>
              </w:rPr>
              <w:t xml:space="preserve"> </w:t>
            </w:r>
            <w:r w:rsidRPr="00FC7176">
              <w:rPr>
                <w:rFonts w:ascii="微軟正黑體" w:eastAsia="微軟正黑體" w:hAnsi="微軟正黑體"/>
              </w:rPr>
              <w:t>Paternity Leave</w:t>
            </w:r>
          </w:p>
        </w:tc>
        <w:tc>
          <w:tcPr>
            <w:tcW w:w="2268"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t>During the period from the spouse's pregnancy until the day of delivery, as well</w:t>
            </w:r>
            <w:r>
              <w:rPr>
                <w:rFonts w:ascii="微軟正黑體" w:eastAsia="微軟正黑體" w:hAnsi="微軟正黑體"/>
              </w:rPr>
              <w:t xml:space="preserve"> </w:t>
            </w:r>
            <w:r w:rsidRPr="00FC7176">
              <w:rPr>
                <w:rFonts w:ascii="微軟正黑體" w:eastAsia="微軟正黑體" w:hAnsi="微軟正黑體"/>
              </w:rPr>
              <w:t>as 7 days before and after the delivery, totaling within 15 days, male employees</w:t>
            </w:r>
            <w:r>
              <w:rPr>
                <w:rFonts w:ascii="微軟正黑體" w:eastAsia="微軟正黑體" w:hAnsi="微軟正黑體"/>
              </w:rPr>
              <w:t xml:space="preserve"> </w:t>
            </w:r>
            <w:r w:rsidRPr="00FC7176">
              <w:rPr>
                <w:rFonts w:ascii="微軟正黑體" w:eastAsia="微軟正黑體" w:hAnsi="微軟正黑體"/>
              </w:rPr>
              <w:t>are entitled to 7 days of paternity examination leave and paternity leave.</w:t>
            </w:r>
          </w:p>
        </w:tc>
        <w:tc>
          <w:tcPr>
            <w:tcW w:w="3339" w:type="dxa"/>
          </w:tcPr>
          <w:p w:rsidR="00CF1E70" w:rsidRPr="00CF1E70" w:rsidRDefault="00FC7176" w:rsidP="00FC7176">
            <w:pPr>
              <w:rPr>
                <w:rFonts w:ascii="微軟正黑體" w:eastAsia="微軟正黑體" w:hAnsi="微軟正黑體"/>
              </w:rPr>
            </w:pPr>
            <w:r w:rsidRPr="00FC7176">
              <w:rPr>
                <w:rFonts w:ascii="微軟正黑體" w:eastAsia="微軟正黑體" w:hAnsi="微軟正黑體"/>
              </w:rPr>
              <w:t>During the period from the spouse's pregnancy until the baby's first year,</w:t>
            </w:r>
            <w:r w:rsidRPr="00FC7176">
              <w:rPr>
                <w:rFonts w:ascii="微軟正黑體" w:eastAsia="微軟正黑體" w:hAnsi="微軟正黑體"/>
              </w:rPr>
              <w:t xml:space="preserve"> </w:t>
            </w:r>
            <w:r w:rsidRPr="00FC7176">
              <w:rPr>
                <w:rFonts w:ascii="微軟正黑體" w:eastAsia="微軟正黑體" w:hAnsi="微軟正黑體"/>
              </w:rPr>
              <w:t>male employees are entitled to use the leave, with an additional extended to</w:t>
            </w:r>
            <w:r>
              <w:rPr>
                <w:rFonts w:ascii="微軟正黑體" w:eastAsia="微軟正黑體" w:hAnsi="微軟正黑體"/>
              </w:rPr>
              <w:t xml:space="preserve"> </w:t>
            </w:r>
            <w:r w:rsidRPr="00FC7176">
              <w:rPr>
                <w:rFonts w:ascii="微軟正黑體" w:eastAsia="微軟正黑體" w:hAnsi="微軟正黑體"/>
              </w:rPr>
              <w:t>10 days of paternity examination leave and paternity leave.</w:t>
            </w:r>
          </w:p>
        </w:tc>
      </w:tr>
    </w:tbl>
    <w:p w:rsidR="000A2975" w:rsidRPr="00B74B6A" w:rsidRDefault="000A2975" w:rsidP="00CF1E70">
      <w:pPr>
        <w:pStyle w:val="a7"/>
        <w:ind w:leftChars="0" w:left="720"/>
        <w:rPr>
          <w:rFonts w:ascii="微軟正黑體" w:eastAsia="微軟正黑體" w:hAnsi="微軟正黑體"/>
        </w:rPr>
      </w:pPr>
    </w:p>
    <w:sectPr w:rsidR="000A2975" w:rsidRPr="00B74B6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A" w:rsidRDefault="00B74B6A" w:rsidP="00B74B6A">
      <w:r>
        <w:separator/>
      </w:r>
    </w:p>
  </w:endnote>
  <w:endnote w:type="continuationSeparator" w:id="0">
    <w:p w:rsidR="00B74B6A" w:rsidRDefault="00B74B6A" w:rsidP="00B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A" w:rsidRDefault="00B74B6A" w:rsidP="00B74B6A">
      <w:r>
        <w:separator/>
      </w:r>
    </w:p>
  </w:footnote>
  <w:footnote w:type="continuationSeparator" w:id="0">
    <w:p w:rsidR="00B74B6A" w:rsidRDefault="00B74B6A" w:rsidP="00B74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734A"/>
    <w:multiLevelType w:val="hybridMultilevel"/>
    <w:tmpl w:val="250C956C"/>
    <w:lvl w:ilvl="0" w:tplc="EC480C4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FE"/>
    <w:rsid w:val="000A2975"/>
    <w:rsid w:val="001E5562"/>
    <w:rsid w:val="001F10DF"/>
    <w:rsid w:val="00253AFE"/>
    <w:rsid w:val="00626EBA"/>
    <w:rsid w:val="00630F35"/>
    <w:rsid w:val="006C0503"/>
    <w:rsid w:val="00882265"/>
    <w:rsid w:val="009B217B"/>
    <w:rsid w:val="00B74B6A"/>
    <w:rsid w:val="00C90E96"/>
    <w:rsid w:val="00CF1E70"/>
    <w:rsid w:val="00D34773"/>
    <w:rsid w:val="00FC71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375530"/>
  <w15:chartTrackingRefBased/>
  <w15:docId w15:val="{ACF00520-0C79-4D9B-8220-4FF0599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6A"/>
    <w:pPr>
      <w:tabs>
        <w:tab w:val="center" w:pos="4153"/>
        <w:tab w:val="right" w:pos="8306"/>
      </w:tabs>
      <w:snapToGrid w:val="0"/>
    </w:pPr>
    <w:rPr>
      <w:sz w:val="20"/>
      <w:szCs w:val="20"/>
    </w:rPr>
  </w:style>
  <w:style w:type="character" w:customStyle="1" w:styleId="a4">
    <w:name w:val="頁首 字元"/>
    <w:basedOn w:val="a0"/>
    <w:link w:val="a3"/>
    <w:uiPriority w:val="99"/>
    <w:rsid w:val="00B74B6A"/>
    <w:rPr>
      <w:sz w:val="20"/>
      <w:szCs w:val="20"/>
    </w:rPr>
  </w:style>
  <w:style w:type="paragraph" w:styleId="a5">
    <w:name w:val="footer"/>
    <w:basedOn w:val="a"/>
    <w:link w:val="a6"/>
    <w:uiPriority w:val="99"/>
    <w:unhideWhenUsed/>
    <w:rsid w:val="00B74B6A"/>
    <w:pPr>
      <w:tabs>
        <w:tab w:val="center" w:pos="4153"/>
        <w:tab w:val="right" w:pos="8306"/>
      </w:tabs>
      <w:snapToGrid w:val="0"/>
    </w:pPr>
    <w:rPr>
      <w:sz w:val="20"/>
      <w:szCs w:val="20"/>
    </w:rPr>
  </w:style>
  <w:style w:type="character" w:customStyle="1" w:styleId="a6">
    <w:name w:val="頁尾 字元"/>
    <w:basedOn w:val="a0"/>
    <w:link w:val="a5"/>
    <w:uiPriority w:val="99"/>
    <w:rsid w:val="00B74B6A"/>
    <w:rPr>
      <w:sz w:val="20"/>
      <w:szCs w:val="20"/>
    </w:rPr>
  </w:style>
  <w:style w:type="paragraph" w:styleId="a7">
    <w:name w:val="List Paragraph"/>
    <w:basedOn w:val="a"/>
    <w:uiPriority w:val="34"/>
    <w:qFormat/>
    <w:rsid w:val="00B74B6A"/>
    <w:pPr>
      <w:ind w:leftChars="200" w:left="480"/>
    </w:pPr>
  </w:style>
  <w:style w:type="table" w:styleId="a8">
    <w:name w:val="Table Grid"/>
    <w:basedOn w:val="a1"/>
    <w:uiPriority w:val="39"/>
    <w:rsid w:val="00B7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TotalTime>
  <Pages>5</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oliver.he@W10V06-014</dc:creator>
  <cp:keywords/>
  <dc:description/>
  <cp:lastModifiedBy>oliver.he@W10V06-014</cp:lastModifiedBy>
  <cp:revision>13</cp:revision>
  <dcterms:created xsi:type="dcterms:W3CDTF">2025-01-13T05:49:00Z</dcterms:created>
  <dcterms:modified xsi:type="dcterms:W3CDTF">2025-04-13T11:41:00Z</dcterms:modified>
</cp:coreProperties>
</file>