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0D" w:rsidRPr="008171B3" w:rsidRDefault="00B3410D" w:rsidP="009001B2">
      <w:pPr>
        <w:pStyle w:val="a3"/>
        <w:numPr>
          <w:ilvl w:val="0"/>
          <w:numId w:val="1"/>
        </w:numPr>
        <w:spacing w:before="240" w:line="0" w:lineRule="atLeast"/>
        <w:ind w:leftChars="0"/>
        <w:rPr>
          <w:rFonts w:eastAsia="微軟正黑體" w:cstheme="minorHAnsi"/>
          <w:b/>
          <w:sz w:val="22"/>
        </w:rPr>
      </w:pPr>
      <w:r w:rsidRPr="008171B3">
        <w:rPr>
          <w:rFonts w:eastAsia="新細明體" w:cstheme="minorHAnsi"/>
          <w:b/>
          <w:bCs/>
          <w:kern w:val="0"/>
          <w:sz w:val="22"/>
        </w:rPr>
        <w:t>Sustaina</w:t>
      </w:r>
      <w:r w:rsidR="009001B2" w:rsidRPr="008171B3">
        <w:rPr>
          <w:rFonts w:eastAsia="新細明體" w:cstheme="minorHAnsi"/>
          <w:b/>
          <w:bCs/>
          <w:kern w:val="0"/>
          <w:sz w:val="22"/>
        </w:rPr>
        <w:t>ble Development Management Unit</w:t>
      </w:r>
    </w:p>
    <w:p w:rsidR="004E193C" w:rsidRPr="008171B3" w:rsidRDefault="00B3410D" w:rsidP="009001B2">
      <w:pPr>
        <w:widowControl/>
        <w:spacing w:before="100" w:beforeAutospacing="1" w:after="100" w:afterAutospacing="1"/>
        <w:rPr>
          <w:rFonts w:eastAsia="新細明體" w:cstheme="minorHAnsi"/>
          <w:kern w:val="0"/>
          <w:sz w:val="22"/>
        </w:rPr>
      </w:pPr>
      <w:r w:rsidRPr="008171B3">
        <w:rPr>
          <w:rFonts w:eastAsia="新細明體" w:cstheme="minorHAnsi"/>
          <w:kern w:val="0"/>
          <w:sz w:val="22"/>
        </w:rPr>
        <w:t>GUC's sustainable development is overseen by the "</w:t>
      </w:r>
      <w:r w:rsidRPr="008171B3">
        <w:rPr>
          <w:rFonts w:cstheme="minorHAnsi"/>
          <w:sz w:val="22"/>
        </w:rPr>
        <w:t xml:space="preserve"> </w:t>
      </w:r>
      <w:r w:rsidRPr="008171B3">
        <w:rPr>
          <w:rFonts w:eastAsia="新細明體" w:cstheme="minorHAnsi"/>
          <w:kern w:val="0"/>
          <w:sz w:val="22"/>
        </w:rPr>
        <w:t>Strategy and Sustainable Development Committee," and an "ESG Committee" is established, chaired by President Sean Tai. Representatives from various departments are appointed as committee members, forming functional sub-groups for operations. The "ESG Committee" implements the resolutions of the " Strategy and Sustainable Development Committee," keeps track of international sustainability trends, and, based on various international standards and regulations, leads functional organization members to develop sustainable development plans. The committee also identifies stakeholder needs to assess key issues and related risks in the areas of environmental, social, and corporate governance (ESG). The committee adapts and mitigates the potential impacts of major issues, such as climate change, on operations, while formulating application strategies and execution plans. The Board of Directors reviews and guides the company's ESG development direction.</w:t>
      </w:r>
    </w:p>
    <w:p w:rsidR="00A201EE" w:rsidRPr="008171B3" w:rsidRDefault="00D2026B" w:rsidP="00B3228F">
      <w:pPr>
        <w:spacing w:before="240" w:line="0" w:lineRule="atLeast"/>
        <w:jc w:val="center"/>
        <w:rPr>
          <w:rFonts w:eastAsia="微軟正黑體" w:cstheme="minorHAnsi"/>
          <w:sz w:val="22"/>
        </w:rPr>
      </w:pPr>
      <w:r w:rsidRPr="008171B3">
        <w:rPr>
          <w:rFonts w:eastAsia="微軟正黑體" w:cstheme="minorHAnsi"/>
          <w:noProof/>
          <w:sz w:val="22"/>
        </w:rPr>
        <w:drawing>
          <wp:inline distT="0" distB="0" distL="0" distR="0" wp14:anchorId="32F249F2">
            <wp:extent cx="6565251" cy="2640500"/>
            <wp:effectExtent l="0" t="0" r="762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7157" cy="2645289"/>
                    </a:xfrm>
                    <a:prstGeom prst="rect">
                      <a:avLst/>
                    </a:prstGeom>
                    <a:noFill/>
                  </pic:spPr>
                </pic:pic>
              </a:graphicData>
            </a:graphic>
          </wp:inline>
        </w:drawing>
      </w:r>
    </w:p>
    <w:p w:rsidR="004E193C" w:rsidRPr="008171B3" w:rsidRDefault="004E193C" w:rsidP="004E193C">
      <w:pPr>
        <w:spacing w:before="240" w:line="0" w:lineRule="atLeast"/>
        <w:rPr>
          <w:rFonts w:eastAsia="微軟正黑體" w:cstheme="minorHAnsi"/>
          <w:sz w:val="22"/>
        </w:rPr>
      </w:pPr>
    </w:p>
    <w:p w:rsidR="00987F09" w:rsidRPr="008171B3" w:rsidRDefault="00987F09" w:rsidP="00987F09">
      <w:pPr>
        <w:pStyle w:val="a3"/>
        <w:numPr>
          <w:ilvl w:val="0"/>
          <w:numId w:val="1"/>
        </w:numPr>
        <w:spacing w:before="240" w:line="0" w:lineRule="atLeast"/>
        <w:ind w:leftChars="0"/>
        <w:jc w:val="both"/>
        <w:rPr>
          <w:rFonts w:eastAsia="微軟正黑體" w:cstheme="minorHAnsi"/>
          <w:b/>
          <w:sz w:val="22"/>
        </w:rPr>
      </w:pPr>
      <w:r w:rsidRPr="008171B3">
        <w:rPr>
          <w:rFonts w:eastAsia="微軟正黑體" w:cstheme="minorHAnsi"/>
          <w:b/>
          <w:sz w:val="22"/>
        </w:rPr>
        <w:t>Annual Regular R</w:t>
      </w:r>
      <w:r w:rsidR="009001B2" w:rsidRPr="008171B3">
        <w:rPr>
          <w:rFonts w:eastAsia="微軟正黑體" w:cstheme="minorHAnsi"/>
          <w:b/>
          <w:sz w:val="22"/>
        </w:rPr>
        <w:t>eport to the Board of Directors</w:t>
      </w:r>
    </w:p>
    <w:p w:rsidR="00987F09" w:rsidRPr="008171B3" w:rsidRDefault="00987F09" w:rsidP="00987F09">
      <w:pPr>
        <w:spacing w:before="240" w:line="0" w:lineRule="atLeast"/>
        <w:jc w:val="both"/>
        <w:rPr>
          <w:rFonts w:eastAsia="微軟正黑體" w:cstheme="minorHAnsi"/>
          <w:sz w:val="22"/>
        </w:rPr>
      </w:pPr>
      <w:r w:rsidRPr="008171B3">
        <w:rPr>
          <w:rFonts w:eastAsia="微軟正黑體" w:cstheme="minorHAnsi"/>
          <w:sz w:val="22"/>
        </w:rPr>
        <w:t>1. Identify material topics, develop strategies and response plans e</w:t>
      </w:r>
      <w:bookmarkStart w:id="0" w:name="_GoBack"/>
      <w:bookmarkEnd w:id="0"/>
      <w:r w:rsidRPr="008171B3">
        <w:rPr>
          <w:rFonts w:eastAsia="微軟正黑體" w:cstheme="minorHAnsi"/>
          <w:sz w:val="22"/>
        </w:rPr>
        <w:t>ach year.</w:t>
      </w:r>
    </w:p>
    <w:p w:rsidR="00987F09" w:rsidRPr="008171B3" w:rsidRDefault="00987F09" w:rsidP="00987F09">
      <w:pPr>
        <w:spacing w:before="240" w:line="0" w:lineRule="atLeast"/>
        <w:jc w:val="both"/>
        <w:rPr>
          <w:rFonts w:eastAsia="微軟正黑體" w:cstheme="minorHAnsi"/>
          <w:sz w:val="22"/>
        </w:rPr>
      </w:pPr>
      <w:r w:rsidRPr="008171B3">
        <w:rPr>
          <w:rFonts w:eastAsia="微軟正黑體" w:cstheme="minorHAnsi"/>
          <w:sz w:val="22"/>
        </w:rPr>
        <w:t>2. Outline the progress, achievements, and goals for the following year regarding ESG initiatives annually.</w:t>
      </w:r>
    </w:p>
    <w:p w:rsidR="00987F09" w:rsidRPr="008171B3" w:rsidRDefault="00987F09" w:rsidP="00987F09">
      <w:pPr>
        <w:spacing w:before="240" w:line="0" w:lineRule="atLeast"/>
        <w:jc w:val="both"/>
        <w:rPr>
          <w:rFonts w:eastAsia="微軟正黑體" w:cstheme="minorHAnsi"/>
          <w:sz w:val="22"/>
        </w:rPr>
      </w:pPr>
      <w:r w:rsidRPr="008171B3">
        <w:rPr>
          <w:rFonts w:eastAsia="微軟正黑體" w:cstheme="minorHAnsi"/>
          <w:sz w:val="22"/>
        </w:rPr>
        <w:t>3. Report ESG execution progress and effectiveness biannually.</w:t>
      </w:r>
    </w:p>
    <w:p w:rsidR="00987F09" w:rsidRPr="008171B3" w:rsidRDefault="00987F09" w:rsidP="00987F09">
      <w:pPr>
        <w:spacing w:line="0" w:lineRule="atLeast"/>
        <w:jc w:val="both"/>
        <w:rPr>
          <w:rFonts w:eastAsia="微軟正黑體" w:cstheme="minorHAnsi"/>
          <w:sz w:val="22"/>
        </w:rPr>
      </w:pPr>
    </w:p>
    <w:p w:rsidR="000E42D4" w:rsidRPr="008171B3" w:rsidRDefault="000E42D4" w:rsidP="000E42D4">
      <w:pPr>
        <w:spacing w:line="0" w:lineRule="atLeast"/>
        <w:ind w:left="240"/>
        <w:jc w:val="both"/>
        <w:rPr>
          <w:rFonts w:eastAsia="微軟正黑體" w:cstheme="minorHAnsi"/>
          <w:sz w:val="22"/>
        </w:rPr>
      </w:pPr>
    </w:p>
    <w:tbl>
      <w:tblPr>
        <w:tblStyle w:val="a8"/>
        <w:tblW w:w="0" w:type="auto"/>
        <w:tblInd w:w="240" w:type="dxa"/>
        <w:tblLook w:val="04A0" w:firstRow="1" w:lastRow="0" w:firstColumn="1" w:lastColumn="0" w:noHBand="0" w:noVBand="1"/>
      </w:tblPr>
      <w:tblGrid>
        <w:gridCol w:w="2449"/>
        <w:gridCol w:w="7047"/>
      </w:tblGrid>
      <w:tr w:rsidR="004E193C" w:rsidRPr="008171B3" w:rsidTr="007E4087">
        <w:tc>
          <w:tcPr>
            <w:tcW w:w="9496" w:type="dxa"/>
            <w:gridSpan w:val="2"/>
            <w:shd w:val="clear" w:color="auto" w:fill="70AD47" w:themeFill="accent6"/>
            <w:vAlign w:val="center"/>
          </w:tcPr>
          <w:p w:rsidR="004E193C" w:rsidRPr="008171B3" w:rsidRDefault="009001B2" w:rsidP="000E42D4">
            <w:pPr>
              <w:spacing w:line="0" w:lineRule="atLeast"/>
              <w:jc w:val="center"/>
              <w:rPr>
                <w:rFonts w:eastAsia="微軟正黑體" w:cstheme="minorHAnsi"/>
                <w:b/>
                <w:sz w:val="22"/>
              </w:rPr>
            </w:pPr>
            <w:r w:rsidRPr="008171B3">
              <w:rPr>
                <w:rFonts w:eastAsia="微軟正黑體" w:cstheme="minorHAnsi"/>
                <w:b/>
                <w:sz w:val="22"/>
              </w:rPr>
              <w:t>Board Reporting Schedule</w:t>
            </w:r>
          </w:p>
        </w:tc>
      </w:tr>
      <w:tr w:rsidR="009001B2" w:rsidRPr="008171B3" w:rsidTr="000E42D4">
        <w:tc>
          <w:tcPr>
            <w:tcW w:w="2449" w:type="dxa"/>
            <w:vAlign w:val="center"/>
          </w:tcPr>
          <w:p w:rsidR="009001B2" w:rsidRPr="008171B3" w:rsidRDefault="009001B2" w:rsidP="009001B2">
            <w:pPr>
              <w:widowControl/>
              <w:jc w:val="center"/>
              <w:rPr>
                <w:rFonts w:cstheme="minorHAnsi"/>
                <w:b/>
                <w:bCs/>
                <w:sz w:val="22"/>
              </w:rPr>
            </w:pPr>
            <w:r w:rsidRPr="008171B3">
              <w:rPr>
                <w:rStyle w:val="ab"/>
                <w:rFonts w:cstheme="minorHAnsi"/>
                <w:sz w:val="22"/>
              </w:rPr>
              <w:t>Date</w:t>
            </w:r>
          </w:p>
        </w:tc>
        <w:tc>
          <w:tcPr>
            <w:tcW w:w="7047" w:type="dxa"/>
            <w:vAlign w:val="center"/>
          </w:tcPr>
          <w:p w:rsidR="009001B2" w:rsidRPr="008171B3" w:rsidRDefault="009001B2" w:rsidP="009001B2">
            <w:pPr>
              <w:jc w:val="center"/>
              <w:rPr>
                <w:rFonts w:cstheme="minorHAnsi"/>
                <w:b/>
                <w:bCs/>
                <w:sz w:val="22"/>
              </w:rPr>
            </w:pPr>
            <w:r w:rsidRPr="008171B3">
              <w:rPr>
                <w:rStyle w:val="ab"/>
                <w:rFonts w:cstheme="minorHAnsi"/>
                <w:sz w:val="22"/>
              </w:rPr>
              <w:t>Agenda Items</w:t>
            </w:r>
          </w:p>
        </w:tc>
      </w:tr>
      <w:tr w:rsidR="004E193C" w:rsidRPr="008171B3" w:rsidTr="000E42D4">
        <w:trPr>
          <w:trHeight w:val="397"/>
        </w:trPr>
        <w:tc>
          <w:tcPr>
            <w:tcW w:w="2449" w:type="dxa"/>
            <w:vAlign w:val="center"/>
          </w:tcPr>
          <w:p w:rsidR="004E193C" w:rsidRPr="008171B3" w:rsidRDefault="004E193C" w:rsidP="000E42D4">
            <w:pPr>
              <w:spacing w:line="0" w:lineRule="atLeast"/>
              <w:jc w:val="center"/>
              <w:rPr>
                <w:rFonts w:eastAsia="微軟正黑體" w:cstheme="minorHAnsi"/>
                <w:sz w:val="22"/>
              </w:rPr>
            </w:pPr>
            <w:r w:rsidRPr="008171B3">
              <w:rPr>
                <w:rFonts w:eastAsia="微軟正黑體" w:cstheme="minorHAnsi"/>
                <w:sz w:val="22"/>
              </w:rPr>
              <w:t>2024/1/31</w:t>
            </w:r>
          </w:p>
        </w:tc>
        <w:tc>
          <w:tcPr>
            <w:tcW w:w="7047" w:type="dxa"/>
            <w:vAlign w:val="center"/>
          </w:tcPr>
          <w:p w:rsidR="009001B2" w:rsidRPr="008171B3" w:rsidRDefault="009001B2" w:rsidP="009001B2">
            <w:pPr>
              <w:spacing w:line="0" w:lineRule="atLeast"/>
              <w:rPr>
                <w:rFonts w:eastAsia="微軟正黑體" w:cstheme="minorHAnsi"/>
                <w:sz w:val="22"/>
              </w:rPr>
            </w:pPr>
            <w:r w:rsidRPr="008171B3">
              <w:rPr>
                <w:rFonts w:ascii="Segoe UI Symbol" w:eastAsia="微軟正黑體" w:hAnsi="Segoe UI Symbol" w:cs="Segoe UI Symbol"/>
                <w:sz w:val="22"/>
              </w:rPr>
              <w:t>✓</w:t>
            </w:r>
            <w:r w:rsidRPr="008171B3">
              <w:rPr>
                <w:rFonts w:eastAsia="微軟正黑體" w:cstheme="minorHAnsi"/>
                <w:sz w:val="22"/>
              </w:rPr>
              <w:t xml:space="preserve"> Key Sustainability Topics and Strategies</w:t>
            </w:r>
          </w:p>
          <w:p w:rsidR="00EB7489" w:rsidRPr="008171B3" w:rsidRDefault="009001B2" w:rsidP="009001B2">
            <w:pPr>
              <w:spacing w:line="0" w:lineRule="atLeast"/>
              <w:rPr>
                <w:rFonts w:eastAsia="微軟正黑體" w:cstheme="minorHAnsi"/>
                <w:sz w:val="22"/>
              </w:rPr>
            </w:pPr>
            <w:r w:rsidRPr="008171B3">
              <w:rPr>
                <w:rFonts w:ascii="Segoe UI Symbol" w:eastAsia="微軟正黑體" w:hAnsi="Segoe UI Symbol" w:cs="Segoe UI Symbol"/>
                <w:sz w:val="22"/>
              </w:rPr>
              <w:t>✓</w:t>
            </w:r>
            <w:r w:rsidRPr="008171B3">
              <w:rPr>
                <w:rFonts w:eastAsia="微軟正黑體" w:cstheme="minorHAnsi"/>
                <w:sz w:val="22"/>
              </w:rPr>
              <w:t xml:space="preserve"> Setting Annual Sustainability Goals</w:t>
            </w:r>
          </w:p>
        </w:tc>
      </w:tr>
      <w:tr w:rsidR="004E193C" w:rsidRPr="008171B3" w:rsidTr="000E42D4">
        <w:trPr>
          <w:trHeight w:val="397"/>
        </w:trPr>
        <w:tc>
          <w:tcPr>
            <w:tcW w:w="2449" w:type="dxa"/>
            <w:vAlign w:val="center"/>
          </w:tcPr>
          <w:p w:rsidR="004E193C" w:rsidRPr="008171B3" w:rsidRDefault="004E193C" w:rsidP="000E42D4">
            <w:pPr>
              <w:spacing w:line="0" w:lineRule="atLeast"/>
              <w:jc w:val="center"/>
              <w:rPr>
                <w:rFonts w:eastAsia="微軟正黑體" w:cstheme="minorHAnsi"/>
                <w:sz w:val="22"/>
              </w:rPr>
            </w:pPr>
            <w:r w:rsidRPr="008171B3">
              <w:rPr>
                <w:rFonts w:eastAsia="微軟正黑體" w:cstheme="minorHAnsi"/>
                <w:sz w:val="22"/>
              </w:rPr>
              <w:t>2024/5/16</w:t>
            </w:r>
          </w:p>
        </w:tc>
        <w:tc>
          <w:tcPr>
            <w:tcW w:w="7047" w:type="dxa"/>
            <w:vAlign w:val="center"/>
          </w:tcPr>
          <w:p w:rsidR="004E193C" w:rsidRPr="008171B3" w:rsidRDefault="009001B2" w:rsidP="009001B2">
            <w:pPr>
              <w:spacing w:line="0" w:lineRule="atLeast"/>
              <w:rPr>
                <w:rFonts w:eastAsia="微軟正黑體" w:cstheme="minorHAnsi"/>
                <w:sz w:val="22"/>
              </w:rPr>
            </w:pPr>
            <w:r w:rsidRPr="008171B3">
              <w:rPr>
                <w:rFonts w:ascii="Segoe UI Symbol" w:eastAsia="微軟正黑體" w:hAnsi="Segoe UI Symbol" w:cs="Segoe UI Symbol"/>
                <w:sz w:val="22"/>
              </w:rPr>
              <w:t>✓</w:t>
            </w:r>
            <w:r w:rsidRPr="008171B3">
              <w:rPr>
                <w:rFonts w:eastAsia="微軟正黑體" w:cstheme="minorHAnsi"/>
                <w:sz w:val="22"/>
              </w:rPr>
              <w:t xml:space="preserve"> Submission of the 2023 Sustainability Report for Board Approval</w:t>
            </w:r>
          </w:p>
        </w:tc>
      </w:tr>
      <w:tr w:rsidR="004E193C" w:rsidRPr="008171B3" w:rsidTr="000E42D4">
        <w:trPr>
          <w:trHeight w:val="397"/>
        </w:trPr>
        <w:tc>
          <w:tcPr>
            <w:tcW w:w="2449" w:type="dxa"/>
            <w:vAlign w:val="center"/>
          </w:tcPr>
          <w:p w:rsidR="004E193C" w:rsidRPr="008171B3" w:rsidRDefault="004E193C" w:rsidP="000E42D4">
            <w:pPr>
              <w:spacing w:line="0" w:lineRule="atLeast"/>
              <w:jc w:val="center"/>
              <w:rPr>
                <w:rFonts w:eastAsia="微軟正黑體" w:cstheme="minorHAnsi"/>
                <w:sz w:val="22"/>
              </w:rPr>
            </w:pPr>
            <w:r w:rsidRPr="008171B3">
              <w:rPr>
                <w:rFonts w:eastAsia="微軟正黑體" w:cstheme="minorHAnsi"/>
                <w:sz w:val="22"/>
              </w:rPr>
              <w:lastRenderedPageBreak/>
              <w:t>2024/7/25</w:t>
            </w:r>
          </w:p>
        </w:tc>
        <w:tc>
          <w:tcPr>
            <w:tcW w:w="7047" w:type="dxa"/>
            <w:vAlign w:val="center"/>
          </w:tcPr>
          <w:p w:rsidR="004E193C" w:rsidRPr="008171B3" w:rsidRDefault="009001B2" w:rsidP="009001B2">
            <w:pPr>
              <w:spacing w:line="0" w:lineRule="atLeast"/>
              <w:rPr>
                <w:rFonts w:eastAsia="微軟正黑體" w:cstheme="minorHAnsi"/>
                <w:sz w:val="22"/>
              </w:rPr>
            </w:pPr>
            <w:r w:rsidRPr="008171B3">
              <w:rPr>
                <w:rFonts w:ascii="Segoe UI Symbol" w:eastAsia="微軟正黑體" w:hAnsi="Segoe UI Symbol" w:cs="Segoe UI Symbol"/>
                <w:sz w:val="22"/>
              </w:rPr>
              <w:t>✓</w:t>
            </w:r>
            <w:r w:rsidRPr="008171B3">
              <w:rPr>
                <w:rFonts w:eastAsia="微軟正黑體" w:cstheme="minorHAnsi"/>
                <w:sz w:val="22"/>
              </w:rPr>
              <w:t xml:space="preserve"> Mid-Year Sustainability Performance and Progress Report</w:t>
            </w:r>
          </w:p>
        </w:tc>
      </w:tr>
      <w:tr w:rsidR="004E193C" w:rsidRPr="008171B3" w:rsidTr="000E42D4">
        <w:trPr>
          <w:trHeight w:val="397"/>
        </w:trPr>
        <w:tc>
          <w:tcPr>
            <w:tcW w:w="2449" w:type="dxa"/>
            <w:vAlign w:val="center"/>
          </w:tcPr>
          <w:p w:rsidR="004E193C" w:rsidRPr="008171B3" w:rsidRDefault="004E193C" w:rsidP="000E42D4">
            <w:pPr>
              <w:spacing w:line="0" w:lineRule="atLeast"/>
              <w:jc w:val="center"/>
              <w:rPr>
                <w:rFonts w:eastAsia="微軟正黑體" w:cstheme="minorHAnsi"/>
                <w:sz w:val="22"/>
              </w:rPr>
            </w:pPr>
            <w:r w:rsidRPr="008171B3">
              <w:rPr>
                <w:rFonts w:eastAsia="微軟正黑體" w:cstheme="minorHAnsi"/>
                <w:sz w:val="22"/>
              </w:rPr>
              <w:t>2024/11/28</w:t>
            </w:r>
          </w:p>
        </w:tc>
        <w:tc>
          <w:tcPr>
            <w:tcW w:w="7047" w:type="dxa"/>
            <w:vAlign w:val="center"/>
          </w:tcPr>
          <w:p w:rsidR="009001B2" w:rsidRPr="008171B3" w:rsidRDefault="009001B2" w:rsidP="009001B2">
            <w:pPr>
              <w:spacing w:line="0" w:lineRule="atLeast"/>
              <w:rPr>
                <w:rFonts w:eastAsia="微軟正黑體" w:cstheme="minorHAnsi"/>
                <w:sz w:val="22"/>
              </w:rPr>
            </w:pPr>
            <w:r w:rsidRPr="008171B3">
              <w:rPr>
                <w:rFonts w:ascii="Segoe UI Symbol" w:eastAsia="微軟正黑體" w:hAnsi="Segoe UI Symbol" w:cs="Segoe UI Symbol"/>
                <w:sz w:val="22"/>
              </w:rPr>
              <w:t>✓</w:t>
            </w:r>
            <w:r w:rsidRPr="008171B3">
              <w:rPr>
                <w:rFonts w:eastAsia="微軟正黑體" w:cstheme="minorHAnsi"/>
                <w:sz w:val="22"/>
              </w:rPr>
              <w:t xml:space="preserve"> Full-Year Sustainability Performance Summary</w:t>
            </w:r>
          </w:p>
          <w:p w:rsidR="008B62A0" w:rsidRPr="008171B3" w:rsidRDefault="009001B2" w:rsidP="009001B2">
            <w:pPr>
              <w:spacing w:line="0" w:lineRule="atLeast"/>
              <w:rPr>
                <w:rFonts w:eastAsia="微軟正黑體" w:cstheme="minorHAnsi"/>
                <w:sz w:val="22"/>
              </w:rPr>
            </w:pPr>
            <w:r w:rsidRPr="008171B3">
              <w:rPr>
                <w:rFonts w:ascii="Segoe UI Symbol" w:eastAsia="微軟正黑體" w:hAnsi="Segoe UI Symbol" w:cs="Segoe UI Symbol"/>
                <w:sz w:val="22"/>
              </w:rPr>
              <w:t>✓</w:t>
            </w:r>
            <w:r w:rsidRPr="008171B3">
              <w:rPr>
                <w:rFonts w:eastAsia="微軟正黑體" w:cstheme="minorHAnsi"/>
                <w:sz w:val="22"/>
              </w:rPr>
              <w:t xml:space="preserve"> Setting Sustainability Strategies and Goals for the Coming Year</w:t>
            </w:r>
          </w:p>
        </w:tc>
      </w:tr>
    </w:tbl>
    <w:p w:rsidR="000258EB" w:rsidRPr="008B62A0" w:rsidRDefault="000258EB" w:rsidP="000E42D4">
      <w:pPr>
        <w:tabs>
          <w:tab w:val="left" w:pos="975"/>
        </w:tabs>
        <w:spacing w:line="0" w:lineRule="atLeast"/>
        <w:jc w:val="both"/>
        <w:rPr>
          <w:rFonts w:ascii="微軟正黑體" w:eastAsia="微軟正黑體" w:hAnsi="微軟正黑體"/>
        </w:rPr>
      </w:pPr>
    </w:p>
    <w:sectPr w:rsidR="000258EB" w:rsidRPr="008B62A0" w:rsidSect="00684E0B">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0B" w:rsidRDefault="00684E0B" w:rsidP="00684E0B">
      <w:r>
        <w:separator/>
      </w:r>
    </w:p>
  </w:endnote>
  <w:endnote w:type="continuationSeparator" w:id="0">
    <w:p w:rsidR="00684E0B" w:rsidRDefault="00684E0B" w:rsidP="0068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0B" w:rsidRDefault="00684E0B" w:rsidP="00684E0B">
      <w:r>
        <w:separator/>
      </w:r>
    </w:p>
  </w:footnote>
  <w:footnote w:type="continuationSeparator" w:id="0">
    <w:p w:rsidR="00684E0B" w:rsidRDefault="00684E0B" w:rsidP="00684E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0B" w:rsidRDefault="00684E0B">
    <w:pPr>
      <w:pStyle w:val="a4"/>
    </w:pPr>
    <w:r>
      <w:rPr>
        <w:noProof/>
      </w:rPr>
      <w:drawing>
        <wp:anchor distT="0" distB="0" distL="114300" distR="114300" simplePos="0" relativeHeight="251658240" behindDoc="0" locked="0" layoutInCell="1" allowOverlap="1">
          <wp:simplePos x="0" y="0"/>
          <wp:positionH relativeFrom="column">
            <wp:posOffset>5218430</wp:posOffset>
          </wp:positionH>
          <wp:positionV relativeFrom="paragraph">
            <wp:posOffset>-320040</wp:posOffset>
          </wp:positionV>
          <wp:extent cx="1395095" cy="546100"/>
          <wp:effectExtent l="0" t="0" r="0" b="635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54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CA"/>
    <w:multiLevelType w:val="hybridMultilevel"/>
    <w:tmpl w:val="7BF85C72"/>
    <w:lvl w:ilvl="0" w:tplc="7696C07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33068B9"/>
    <w:multiLevelType w:val="hybridMultilevel"/>
    <w:tmpl w:val="9E70AB5C"/>
    <w:lvl w:ilvl="0" w:tplc="801068DA">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A105E8"/>
    <w:multiLevelType w:val="hybridMultilevel"/>
    <w:tmpl w:val="8488C39A"/>
    <w:lvl w:ilvl="0" w:tplc="74FC838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FD27272"/>
    <w:multiLevelType w:val="hybridMultilevel"/>
    <w:tmpl w:val="919A697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D96672"/>
    <w:multiLevelType w:val="hybridMultilevel"/>
    <w:tmpl w:val="C5420C2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1F94BD7"/>
    <w:multiLevelType w:val="hybridMultilevel"/>
    <w:tmpl w:val="5EC6490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AE172C"/>
    <w:multiLevelType w:val="hybridMultilevel"/>
    <w:tmpl w:val="54AEE7C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86C1D76"/>
    <w:multiLevelType w:val="hybridMultilevel"/>
    <w:tmpl w:val="60DC34A0"/>
    <w:lvl w:ilvl="0" w:tplc="448E7568">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4D93105"/>
    <w:multiLevelType w:val="hybridMultilevel"/>
    <w:tmpl w:val="B9102C4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6897349"/>
    <w:multiLevelType w:val="hybridMultilevel"/>
    <w:tmpl w:val="BD7CEDE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0274A6C"/>
    <w:multiLevelType w:val="hybridMultilevel"/>
    <w:tmpl w:val="36B4EE8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6591607"/>
    <w:multiLevelType w:val="hybridMultilevel"/>
    <w:tmpl w:val="74B6F10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FA82B1B"/>
    <w:multiLevelType w:val="hybridMultilevel"/>
    <w:tmpl w:val="D69A70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FB4737C"/>
    <w:multiLevelType w:val="hybridMultilevel"/>
    <w:tmpl w:val="6784BE3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0"/>
  </w:num>
  <w:num w:numId="2">
    <w:abstractNumId w:val="6"/>
  </w:num>
  <w:num w:numId="3">
    <w:abstractNumId w:val="13"/>
  </w:num>
  <w:num w:numId="4">
    <w:abstractNumId w:val="12"/>
  </w:num>
  <w:num w:numId="5">
    <w:abstractNumId w:val="2"/>
  </w:num>
  <w:num w:numId="6">
    <w:abstractNumId w:val="5"/>
  </w:num>
  <w:num w:numId="7">
    <w:abstractNumId w:val="7"/>
  </w:num>
  <w:num w:numId="8">
    <w:abstractNumId w:val="11"/>
  </w:num>
  <w:num w:numId="9">
    <w:abstractNumId w:val="4"/>
  </w:num>
  <w:num w:numId="10">
    <w:abstractNumId w:val="8"/>
  </w:num>
  <w:num w:numId="11">
    <w:abstractNumId w:val="3"/>
  </w:num>
  <w:num w:numId="12">
    <w:abstractNumId w:val="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A9"/>
    <w:rsid w:val="000258EB"/>
    <w:rsid w:val="000D132B"/>
    <w:rsid w:val="000E42D4"/>
    <w:rsid w:val="001351A9"/>
    <w:rsid w:val="00141E0D"/>
    <w:rsid w:val="0016096F"/>
    <w:rsid w:val="001A7E9D"/>
    <w:rsid w:val="002B3FB9"/>
    <w:rsid w:val="00392F4B"/>
    <w:rsid w:val="003D5B1B"/>
    <w:rsid w:val="003E7C2D"/>
    <w:rsid w:val="004243B5"/>
    <w:rsid w:val="00426347"/>
    <w:rsid w:val="004A2B4E"/>
    <w:rsid w:val="004A3EA1"/>
    <w:rsid w:val="004C13B0"/>
    <w:rsid w:val="004D1CD4"/>
    <w:rsid w:val="004E193C"/>
    <w:rsid w:val="00522BD4"/>
    <w:rsid w:val="005C58D1"/>
    <w:rsid w:val="005D0C6C"/>
    <w:rsid w:val="005D0D12"/>
    <w:rsid w:val="005E34AE"/>
    <w:rsid w:val="005E4308"/>
    <w:rsid w:val="006250D8"/>
    <w:rsid w:val="00640C1B"/>
    <w:rsid w:val="0065584C"/>
    <w:rsid w:val="006636A6"/>
    <w:rsid w:val="00684E0B"/>
    <w:rsid w:val="00721FED"/>
    <w:rsid w:val="00735F52"/>
    <w:rsid w:val="0075175E"/>
    <w:rsid w:val="00760CB6"/>
    <w:rsid w:val="00777417"/>
    <w:rsid w:val="007966BD"/>
    <w:rsid w:val="007E4087"/>
    <w:rsid w:val="008171B3"/>
    <w:rsid w:val="00841D86"/>
    <w:rsid w:val="008B62A0"/>
    <w:rsid w:val="008C69FE"/>
    <w:rsid w:val="008D6020"/>
    <w:rsid w:val="009001B2"/>
    <w:rsid w:val="00955763"/>
    <w:rsid w:val="00987F09"/>
    <w:rsid w:val="00993A3C"/>
    <w:rsid w:val="009B20D9"/>
    <w:rsid w:val="009F66DB"/>
    <w:rsid w:val="00A0438D"/>
    <w:rsid w:val="00A201EE"/>
    <w:rsid w:val="00A21EC9"/>
    <w:rsid w:val="00A31418"/>
    <w:rsid w:val="00A53975"/>
    <w:rsid w:val="00B00F54"/>
    <w:rsid w:val="00B3228F"/>
    <w:rsid w:val="00B3410D"/>
    <w:rsid w:val="00B415D0"/>
    <w:rsid w:val="00B70DB2"/>
    <w:rsid w:val="00C23FCC"/>
    <w:rsid w:val="00CE4842"/>
    <w:rsid w:val="00CF27ED"/>
    <w:rsid w:val="00D03DE1"/>
    <w:rsid w:val="00D2026B"/>
    <w:rsid w:val="00DA3384"/>
    <w:rsid w:val="00DE33B5"/>
    <w:rsid w:val="00DF129F"/>
    <w:rsid w:val="00DF7932"/>
    <w:rsid w:val="00E470DE"/>
    <w:rsid w:val="00E6597A"/>
    <w:rsid w:val="00EB7489"/>
    <w:rsid w:val="00EE05EC"/>
    <w:rsid w:val="00F36DED"/>
    <w:rsid w:val="00F73E31"/>
    <w:rsid w:val="00FC2C0A"/>
    <w:rsid w:val="00FC56D1"/>
    <w:rsid w:val="00FF6C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E18E76"/>
  <w15:chartTrackingRefBased/>
  <w15:docId w15:val="{A845A1D2-3793-465F-B329-00353A89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CD4"/>
    <w:pPr>
      <w:ind w:leftChars="200" w:left="480"/>
    </w:pPr>
  </w:style>
  <w:style w:type="paragraph" w:styleId="a4">
    <w:name w:val="header"/>
    <w:basedOn w:val="a"/>
    <w:link w:val="a5"/>
    <w:uiPriority w:val="99"/>
    <w:unhideWhenUsed/>
    <w:rsid w:val="00684E0B"/>
    <w:pPr>
      <w:tabs>
        <w:tab w:val="center" w:pos="4153"/>
        <w:tab w:val="right" w:pos="8306"/>
      </w:tabs>
      <w:snapToGrid w:val="0"/>
    </w:pPr>
    <w:rPr>
      <w:sz w:val="20"/>
      <w:szCs w:val="20"/>
    </w:rPr>
  </w:style>
  <w:style w:type="character" w:customStyle="1" w:styleId="a5">
    <w:name w:val="頁首 字元"/>
    <w:basedOn w:val="a0"/>
    <w:link w:val="a4"/>
    <w:uiPriority w:val="99"/>
    <w:rsid w:val="00684E0B"/>
    <w:rPr>
      <w:sz w:val="20"/>
      <w:szCs w:val="20"/>
    </w:rPr>
  </w:style>
  <w:style w:type="paragraph" w:styleId="a6">
    <w:name w:val="footer"/>
    <w:basedOn w:val="a"/>
    <w:link w:val="a7"/>
    <w:uiPriority w:val="99"/>
    <w:unhideWhenUsed/>
    <w:rsid w:val="00684E0B"/>
    <w:pPr>
      <w:tabs>
        <w:tab w:val="center" w:pos="4153"/>
        <w:tab w:val="right" w:pos="8306"/>
      </w:tabs>
      <w:snapToGrid w:val="0"/>
    </w:pPr>
    <w:rPr>
      <w:sz w:val="20"/>
      <w:szCs w:val="20"/>
    </w:rPr>
  </w:style>
  <w:style w:type="character" w:customStyle="1" w:styleId="a7">
    <w:name w:val="頁尾 字元"/>
    <w:basedOn w:val="a0"/>
    <w:link w:val="a6"/>
    <w:uiPriority w:val="99"/>
    <w:rsid w:val="00684E0B"/>
    <w:rPr>
      <w:sz w:val="20"/>
      <w:szCs w:val="20"/>
    </w:rPr>
  </w:style>
  <w:style w:type="table" w:styleId="a8">
    <w:name w:val="Table Grid"/>
    <w:basedOn w:val="a1"/>
    <w:uiPriority w:val="39"/>
    <w:rsid w:val="00F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3E3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73E31"/>
    <w:rPr>
      <w:rFonts w:asciiTheme="majorHAnsi" w:eastAsiaTheme="majorEastAsia" w:hAnsiTheme="majorHAnsi" w:cstheme="majorBidi"/>
      <w:sz w:val="18"/>
      <w:szCs w:val="18"/>
    </w:rPr>
  </w:style>
  <w:style w:type="character" w:styleId="ab">
    <w:name w:val="Strong"/>
    <w:basedOn w:val="a0"/>
    <w:uiPriority w:val="22"/>
    <w:qFormat/>
    <w:rsid w:val="00B34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0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elena.chiu@W10V06-110</dc:creator>
  <cp:keywords/>
  <dc:description/>
  <cp:lastModifiedBy>elena.chiu@W10V06-110</cp:lastModifiedBy>
  <cp:revision>19</cp:revision>
  <cp:lastPrinted>2024-12-23T06:31:00Z</cp:lastPrinted>
  <dcterms:created xsi:type="dcterms:W3CDTF">2024-12-30T09:01:00Z</dcterms:created>
  <dcterms:modified xsi:type="dcterms:W3CDTF">2025-04-11T03:34:00Z</dcterms:modified>
</cp:coreProperties>
</file>