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BD72A" w14:textId="219D8E4B" w:rsidR="00632A88" w:rsidRDefault="00632A88" w:rsidP="00632A88">
      <w:pPr>
        <w:pStyle w:val="a3"/>
        <w:numPr>
          <w:ilvl w:val="0"/>
          <w:numId w:val="13"/>
        </w:numPr>
        <w:spacing w:before="240" w:line="0" w:lineRule="atLeast"/>
        <w:ind w:leftChars="0"/>
        <w:jc w:val="both"/>
        <w:rPr>
          <w:rFonts w:ascii="Arial" w:eastAsia="微軟正黑體" w:hAnsi="Arial" w:cs="Arial"/>
          <w:b/>
          <w:szCs w:val="24"/>
        </w:rPr>
      </w:pPr>
      <w:r w:rsidRPr="00632A88">
        <w:rPr>
          <w:rFonts w:ascii="Arial" w:eastAsia="微軟正黑體" w:hAnsi="Arial" w:cs="Arial"/>
          <w:b/>
          <w:szCs w:val="24"/>
        </w:rPr>
        <w:t>Climate Change Response</w:t>
      </w:r>
    </w:p>
    <w:p w14:paraId="5AC98DB2" w14:textId="77777777" w:rsidR="00632A88" w:rsidRPr="00632A88" w:rsidRDefault="00632A88" w:rsidP="00632A88">
      <w:pPr>
        <w:spacing w:before="240" w:line="0" w:lineRule="atLeast"/>
        <w:jc w:val="both"/>
        <w:rPr>
          <w:rFonts w:eastAsia="微軟正黑體" w:cstheme="minorHAnsi"/>
          <w:szCs w:val="24"/>
        </w:rPr>
      </w:pPr>
      <w:r w:rsidRPr="00632A88">
        <w:rPr>
          <w:rFonts w:eastAsia="微軟正黑體" w:cstheme="minorHAnsi"/>
          <w:szCs w:val="24"/>
        </w:rPr>
        <w:t>As global warming intensifies and extreme weather events become more frequent, countries and enterprises around the world are experiencing significant economic losses. The World Economic Forum’s Global Risks Report 2023 listed natural disasters caused by extreme weather as one of the top global risks. Addressing climate change has become an irreversible trend, and achieving net-zero carbon emissions is now a critical and unavoidable challenge for all industries.</w:t>
      </w:r>
    </w:p>
    <w:p w14:paraId="3468A24C" w14:textId="102841F1" w:rsidR="00632A88" w:rsidRDefault="00632A88" w:rsidP="00632A88">
      <w:pPr>
        <w:spacing w:before="240" w:line="0" w:lineRule="atLeast"/>
        <w:jc w:val="both"/>
        <w:rPr>
          <w:rFonts w:eastAsia="微軟正黑體" w:cstheme="minorHAnsi"/>
          <w:szCs w:val="24"/>
        </w:rPr>
      </w:pPr>
      <w:r w:rsidRPr="00632A88">
        <w:rPr>
          <w:rFonts w:eastAsia="微軟正黑體" w:cstheme="minorHAnsi"/>
          <w:szCs w:val="24"/>
        </w:rPr>
        <w:t xml:space="preserve">Global </w:t>
      </w:r>
      <w:proofErr w:type="spellStart"/>
      <w:r w:rsidRPr="00632A88">
        <w:rPr>
          <w:rFonts w:eastAsia="微軟正黑體" w:cstheme="minorHAnsi"/>
          <w:szCs w:val="24"/>
        </w:rPr>
        <w:t>Unichip</w:t>
      </w:r>
      <w:proofErr w:type="spellEnd"/>
      <w:r w:rsidRPr="00632A88">
        <w:rPr>
          <w:rFonts w:eastAsia="微軟正黑體" w:cstheme="minorHAnsi"/>
          <w:szCs w:val="24"/>
        </w:rPr>
        <w:t xml:space="preserve"> Corp. (GUC) recognizes the profound impacts of climate change on society, the environment, and the global economy. Accordingly, GUC has committed to achieving net-zero carbon emissions by 2050 as a primary goal in our climate strategy. Our management team has completed a comprehensive assessment of climate-related risks and has formulated a concrete net-zero action plan. Progress and implementation status of our carbon reduction initiatives are reported regularly to the Board of Directors.</w:t>
      </w:r>
    </w:p>
    <w:p w14:paraId="244BB359" w14:textId="77777777" w:rsidR="00632A88" w:rsidRPr="00632A88" w:rsidRDefault="00632A88" w:rsidP="00632A88">
      <w:pPr>
        <w:pStyle w:val="a3"/>
        <w:numPr>
          <w:ilvl w:val="0"/>
          <w:numId w:val="13"/>
        </w:numPr>
        <w:spacing w:before="240" w:line="0" w:lineRule="atLeast"/>
        <w:ind w:leftChars="0"/>
        <w:jc w:val="both"/>
        <w:rPr>
          <w:rFonts w:eastAsia="微軟正黑體" w:cstheme="minorHAnsi"/>
          <w:b/>
          <w:sz w:val="28"/>
          <w:szCs w:val="24"/>
        </w:rPr>
      </w:pPr>
      <w:r w:rsidRPr="00632A88">
        <w:rPr>
          <w:rFonts w:eastAsia="微軟正黑體" w:cstheme="minorHAnsi"/>
          <w:b/>
          <w:sz w:val="28"/>
          <w:szCs w:val="24"/>
        </w:rPr>
        <w:t>TCFD Framework</w:t>
      </w:r>
    </w:p>
    <w:p w14:paraId="072C3467" w14:textId="77777777" w:rsidR="00632A88" w:rsidRPr="00632A88" w:rsidRDefault="00632A88" w:rsidP="00632A88">
      <w:pPr>
        <w:spacing w:before="240" w:line="0" w:lineRule="atLeast"/>
        <w:jc w:val="both"/>
        <w:rPr>
          <w:rFonts w:eastAsia="微軟正黑體" w:cstheme="minorHAnsi"/>
          <w:szCs w:val="24"/>
        </w:rPr>
      </w:pPr>
      <w:r w:rsidRPr="00632A88">
        <w:rPr>
          <w:rFonts w:eastAsia="微軟正黑體" w:cstheme="minorHAnsi"/>
          <w:szCs w:val="24"/>
        </w:rPr>
        <w:t>In order to effectively manage climate-related risks and fulfill our corporate social responsibilities, GUC follows the framework of the Task Force on Climate-related Financial Disclosures (TCFD). We actively assess the potential social, environmental, and economic impacts of our products and services, and incorporate climate-related risks and opportunities into our strategic planning and scenario analysis.</w:t>
      </w:r>
    </w:p>
    <w:p w14:paraId="45E30971" w14:textId="77777777" w:rsidR="00632A88" w:rsidRPr="00632A88" w:rsidRDefault="00632A88" w:rsidP="00632A88">
      <w:pPr>
        <w:spacing w:before="240" w:line="0" w:lineRule="atLeast"/>
        <w:jc w:val="both"/>
        <w:rPr>
          <w:rFonts w:eastAsia="微軟正黑體" w:cstheme="minorHAnsi"/>
          <w:szCs w:val="24"/>
        </w:rPr>
      </w:pPr>
    </w:p>
    <w:p w14:paraId="31EE0C78" w14:textId="2A718496" w:rsidR="00632A88" w:rsidRPr="0012261B" w:rsidRDefault="00632A88" w:rsidP="0012261B">
      <w:pPr>
        <w:pStyle w:val="a3"/>
        <w:numPr>
          <w:ilvl w:val="0"/>
          <w:numId w:val="19"/>
        </w:numPr>
        <w:spacing w:before="240" w:line="0" w:lineRule="atLeast"/>
        <w:ind w:leftChars="0"/>
        <w:jc w:val="both"/>
        <w:rPr>
          <w:rFonts w:eastAsia="微軟正黑體" w:cstheme="minorHAnsi"/>
          <w:szCs w:val="24"/>
        </w:rPr>
      </w:pPr>
      <w:r w:rsidRPr="0012261B">
        <w:rPr>
          <w:rFonts w:eastAsia="微軟正黑體" w:cstheme="minorHAnsi"/>
          <w:szCs w:val="24"/>
        </w:rPr>
        <w:t>Identification of Climate-Related Risks and Opportunities</w:t>
      </w:r>
    </w:p>
    <w:p w14:paraId="2EEFAD34" w14:textId="4924C987" w:rsidR="00632A88" w:rsidRPr="0012261B" w:rsidRDefault="0012261B" w:rsidP="0012261B">
      <w:pPr>
        <w:pStyle w:val="a3"/>
        <w:numPr>
          <w:ilvl w:val="0"/>
          <w:numId w:val="19"/>
        </w:numPr>
        <w:spacing w:before="240" w:line="0" w:lineRule="atLeast"/>
        <w:ind w:leftChars="0"/>
        <w:jc w:val="both"/>
        <w:rPr>
          <w:rFonts w:eastAsia="微軟正黑體" w:cstheme="minorHAnsi"/>
          <w:szCs w:val="24"/>
        </w:rPr>
      </w:pPr>
      <w:r>
        <w:rPr>
          <w:noProof/>
        </w:rPr>
        <w:drawing>
          <wp:anchor distT="0" distB="0" distL="114300" distR="114300" simplePos="0" relativeHeight="251658240" behindDoc="0" locked="0" layoutInCell="1" allowOverlap="1" wp14:anchorId="458CE5A6" wp14:editId="0C086825">
            <wp:simplePos x="0" y="0"/>
            <wp:positionH relativeFrom="column">
              <wp:posOffset>228600</wp:posOffset>
            </wp:positionH>
            <wp:positionV relativeFrom="paragraph">
              <wp:posOffset>154940</wp:posOffset>
            </wp:positionV>
            <wp:extent cx="5743575" cy="2651969"/>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43575" cy="2651969"/>
                    </a:xfrm>
                    <a:prstGeom prst="rect">
                      <a:avLst/>
                    </a:prstGeom>
                  </pic:spPr>
                </pic:pic>
              </a:graphicData>
            </a:graphic>
            <wp14:sizeRelH relativeFrom="page">
              <wp14:pctWidth>0</wp14:pctWidth>
            </wp14:sizeRelH>
            <wp14:sizeRelV relativeFrom="page">
              <wp14:pctHeight>0</wp14:pctHeight>
            </wp14:sizeRelV>
          </wp:anchor>
        </w:drawing>
      </w:r>
      <w:r w:rsidR="00632A88" w:rsidRPr="0012261B">
        <w:rPr>
          <w:rFonts w:eastAsia="微軟正黑體" w:cstheme="minorHAnsi"/>
          <w:szCs w:val="24"/>
        </w:rPr>
        <w:t>Response Strategies</w:t>
      </w:r>
    </w:p>
    <w:p w14:paraId="3BD465E7" w14:textId="39900618" w:rsidR="00632A88" w:rsidRDefault="00632A88" w:rsidP="00632A88">
      <w:pPr>
        <w:spacing w:before="240" w:line="0" w:lineRule="atLeast"/>
        <w:jc w:val="both"/>
        <w:rPr>
          <w:rFonts w:eastAsia="微軟正黑體" w:cstheme="minorHAnsi"/>
          <w:szCs w:val="24"/>
        </w:rPr>
      </w:pPr>
      <w:r w:rsidRPr="00632A88">
        <w:rPr>
          <w:rFonts w:eastAsia="微軟正黑體" w:cstheme="minorHAnsi"/>
          <w:szCs w:val="24"/>
        </w:rPr>
        <w:t>GUC has comprehensively evaluated global sustainability trends and aligned them with our operational development goals. We disclose the mitigation and adaptation strategies that have been formulated in response.</w:t>
      </w:r>
    </w:p>
    <w:p w14:paraId="2A8BCA78" w14:textId="237E1D89" w:rsidR="00632A88" w:rsidRPr="00632A88" w:rsidRDefault="0012261B" w:rsidP="00632A88">
      <w:pPr>
        <w:spacing w:before="240" w:line="0" w:lineRule="atLeast"/>
        <w:jc w:val="both"/>
        <w:rPr>
          <w:rFonts w:eastAsia="微軟正黑體" w:cstheme="minorHAnsi" w:hint="eastAsia"/>
          <w:szCs w:val="24"/>
        </w:rPr>
      </w:pPr>
      <w:r>
        <w:rPr>
          <w:noProof/>
        </w:rPr>
        <w:lastRenderedPageBreak/>
        <w:drawing>
          <wp:inline distT="0" distB="0" distL="0" distR="0" wp14:anchorId="754435B1" wp14:editId="76018BBF">
            <wp:extent cx="6188710" cy="2879725"/>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79725"/>
                    </a:xfrm>
                    <a:prstGeom prst="rect">
                      <a:avLst/>
                    </a:prstGeom>
                  </pic:spPr>
                </pic:pic>
              </a:graphicData>
            </a:graphic>
          </wp:inline>
        </w:drawing>
      </w:r>
    </w:p>
    <w:p w14:paraId="4FE327C6" w14:textId="4ADC7616" w:rsidR="00632A88" w:rsidRPr="0012261B" w:rsidRDefault="00632A88" w:rsidP="0012261B">
      <w:pPr>
        <w:pStyle w:val="a3"/>
        <w:numPr>
          <w:ilvl w:val="0"/>
          <w:numId w:val="19"/>
        </w:numPr>
        <w:spacing w:before="240" w:line="0" w:lineRule="atLeast"/>
        <w:ind w:leftChars="0"/>
        <w:jc w:val="both"/>
        <w:rPr>
          <w:rFonts w:eastAsia="微軟正黑體" w:cstheme="minorHAnsi"/>
          <w:szCs w:val="24"/>
        </w:rPr>
      </w:pPr>
      <w:r w:rsidRPr="0012261B">
        <w:rPr>
          <w:rFonts w:eastAsia="微軟正黑體" w:cstheme="minorHAnsi"/>
          <w:szCs w:val="24"/>
        </w:rPr>
        <w:t>Financial Impact Assessment of Climate Risks and Opportunities</w:t>
      </w:r>
    </w:p>
    <w:p w14:paraId="5879AA06" w14:textId="383FE956" w:rsidR="00632A88" w:rsidRDefault="00632A88" w:rsidP="00632A88">
      <w:pPr>
        <w:spacing w:before="240" w:line="0" w:lineRule="atLeast"/>
        <w:jc w:val="both"/>
        <w:rPr>
          <w:rFonts w:eastAsia="微軟正黑體" w:cstheme="minorHAnsi"/>
          <w:szCs w:val="24"/>
        </w:rPr>
      </w:pPr>
      <w:r w:rsidRPr="00632A88">
        <w:rPr>
          <w:rFonts w:eastAsia="微軟正黑體" w:cstheme="minorHAnsi"/>
          <w:szCs w:val="24"/>
        </w:rPr>
        <w:t xml:space="preserve">GUC has conducted financial assessments of identified climate risks and opportunities to understand their potential impact on our operations and long-term </w:t>
      </w:r>
      <w:commentRangeStart w:id="0"/>
      <w:r w:rsidRPr="00632A88">
        <w:rPr>
          <w:rFonts w:eastAsia="微軟正黑體" w:cstheme="minorHAnsi"/>
          <w:szCs w:val="24"/>
        </w:rPr>
        <w:t>value</w:t>
      </w:r>
      <w:commentRangeEnd w:id="0"/>
      <w:r w:rsidR="0012261B">
        <w:rPr>
          <w:rStyle w:val="ab"/>
        </w:rPr>
        <w:commentReference w:id="0"/>
      </w:r>
      <w:r w:rsidRPr="00632A88">
        <w:rPr>
          <w:rFonts w:eastAsia="微軟正黑體" w:cstheme="minorHAnsi"/>
          <w:szCs w:val="24"/>
        </w:rPr>
        <w:t>.</w:t>
      </w:r>
    </w:p>
    <w:p w14:paraId="06E7568C" w14:textId="4F8C1A05" w:rsidR="0012261B" w:rsidRDefault="0012261B" w:rsidP="00632A88">
      <w:pPr>
        <w:spacing w:before="240" w:line="0" w:lineRule="atLeast"/>
        <w:jc w:val="both"/>
        <w:rPr>
          <w:rFonts w:eastAsia="微軟正黑體" w:cstheme="minorHAnsi"/>
          <w:szCs w:val="24"/>
        </w:rPr>
      </w:pPr>
      <w:r>
        <w:rPr>
          <w:noProof/>
        </w:rPr>
        <w:drawing>
          <wp:inline distT="0" distB="0" distL="0" distR="0" wp14:anchorId="4CBB0EB9" wp14:editId="56A33DF1">
            <wp:extent cx="6188710" cy="1568450"/>
            <wp:effectExtent l="0" t="0" r="254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1568450"/>
                    </a:xfrm>
                    <a:prstGeom prst="rect">
                      <a:avLst/>
                    </a:prstGeom>
                  </pic:spPr>
                </pic:pic>
              </a:graphicData>
            </a:graphic>
          </wp:inline>
        </w:drawing>
      </w:r>
    </w:p>
    <w:p w14:paraId="4CCF18FE" w14:textId="2AF056D7" w:rsidR="0012261B" w:rsidRPr="00632A88" w:rsidRDefault="0012261B" w:rsidP="00632A88">
      <w:pPr>
        <w:spacing w:before="240" w:line="0" w:lineRule="atLeast"/>
        <w:jc w:val="both"/>
        <w:rPr>
          <w:rFonts w:eastAsia="微軟正黑體" w:cstheme="minorHAnsi" w:hint="eastAsia"/>
          <w:szCs w:val="24"/>
        </w:rPr>
      </w:pPr>
      <w:r>
        <w:rPr>
          <w:noProof/>
        </w:rPr>
        <w:drawing>
          <wp:inline distT="0" distB="0" distL="0" distR="0" wp14:anchorId="06973043" wp14:editId="71231C34">
            <wp:extent cx="2076450" cy="25717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76450" cy="2571750"/>
                    </a:xfrm>
                    <a:prstGeom prst="rect">
                      <a:avLst/>
                    </a:prstGeom>
                  </pic:spPr>
                </pic:pic>
              </a:graphicData>
            </a:graphic>
          </wp:inline>
        </w:drawing>
      </w:r>
      <w:r>
        <w:rPr>
          <w:rFonts w:eastAsia="微軟正黑體" w:cstheme="minorHAnsi" w:hint="eastAsia"/>
          <w:szCs w:val="24"/>
        </w:rPr>
        <w:t xml:space="preserve">  </w:t>
      </w:r>
      <w:r>
        <w:rPr>
          <w:noProof/>
        </w:rPr>
        <w:drawing>
          <wp:inline distT="0" distB="0" distL="0" distR="0" wp14:anchorId="61403245" wp14:editId="76D57BCC">
            <wp:extent cx="3333750" cy="2447925"/>
            <wp:effectExtent l="0" t="0" r="0" b="952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3750" cy="2447925"/>
                    </a:xfrm>
                    <a:prstGeom prst="rect">
                      <a:avLst/>
                    </a:prstGeom>
                  </pic:spPr>
                </pic:pic>
              </a:graphicData>
            </a:graphic>
          </wp:inline>
        </w:drawing>
      </w:r>
      <w:bookmarkStart w:id="1" w:name="_GoBack"/>
      <w:bookmarkEnd w:id="1"/>
    </w:p>
    <w:p w14:paraId="67CE6351" w14:textId="21077765" w:rsidR="00107F48" w:rsidRPr="009A720D" w:rsidRDefault="00107F48" w:rsidP="00107F48">
      <w:pPr>
        <w:spacing w:line="0" w:lineRule="atLeast"/>
        <w:ind w:left="240"/>
        <w:jc w:val="both"/>
        <w:rPr>
          <w:rFonts w:ascii="微軟正黑體" w:eastAsia="微軟正黑體" w:hAnsi="微軟正黑體"/>
        </w:rPr>
      </w:pPr>
      <w:proofErr w:type="gramStart"/>
      <w:r w:rsidRPr="00107F48">
        <w:rPr>
          <w:rFonts w:ascii="微軟正黑體" w:eastAsia="微軟正黑體" w:hAnsi="微軟正黑體" w:cs="微軟正黑體" w:hint="eastAsia"/>
          <w:color w:val="385623" w:themeColor="accent6" w:themeShade="80"/>
          <w:szCs w:val="24"/>
        </w:rPr>
        <w:t>⊕</w:t>
      </w:r>
      <w:proofErr w:type="gramEnd"/>
      <w:r w:rsidRPr="00107F48">
        <w:rPr>
          <w:rFonts w:ascii="微軟正黑體" w:eastAsia="微軟正黑體" w:hAnsi="微軟正黑體" w:cs="微軟正黑體" w:hint="eastAsia"/>
          <w:color w:val="385623" w:themeColor="accent6" w:themeShade="80"/>
          <w:szCs w:val="24"/>
        </w:rPr>
        <w:t xml:space="preserve"> [Download </w:t>
      </w:r>
      <w:r>
        <w:rPr>
          <w:rFonts w:ascii="微軟正黑體" w:eastAsia="微軟正黑體" w:hAnsi="微軟正黑體" w:cs="微軟正黑體"/>
          <w:color w:val="385623" w:themeColor="accent6" w:themeShade="80"/>
          <w:szCs w:val="24"/>
        </w:rPr>
        <w:t>GUC TCFD Report</w:t>
      </w:r>
      <w:r w:rsidRPr="00107F48">
        <w:rPr>
          <w:rFonts w:ascii="微軟正黑體" w:eastAsia="微軟正黑體" w:hAnsi="微軟正黑體" w:cs="微軟正黑體" w:hint="eastAsia"/>
          <w:color w:val="385623" w:themeColor="accent6" w:themeShade="80"/>
          <w:szCs w:val="24"/>
        </w:rPr>
        <w:t>]</w:t>
      </w:r>
    </w:p>
    <w:p w14:paraId="0967F9A8" w14:textId="3D93EB77" w:rsidR="000258EB" w:rsidRPr="009A720D" w:rsidRDefault="00107F48" w:rsidP="000258EB">
      <w:pPr>
        <w:spacing w:line="0" w:lineRule="atLeast"/>
        <w:ind w:left="240"/>
        <w:jc w:val="both"/>
        <w:rPr>
          <w:rFonts w:ascii="微軟正黑體" w:eastAsia="微軟正黑體" w:hAnsi="微軟正黑體"/>
        </w:rPr>
      </w:pPr>
      <w:proofErr w:type="gramStart"/>
      <w:r w:rsidRPr="00107F48">
        <w:rPr>
          <w:rFonts w:ascii="微軟正黑體" w:eastAsia="微軟正黑體" w:hAnsi="微軟正黑體" w:cs="微軟正黑體" w:hint="eastAsia"/>
          <w:color w:val="385623" w:themeColor="accent6" w:themeShade="80"/>
          <w:szCs w:val="24"/>
        </w:rPr>
        <w:t>⊕</w:t>
      </w:r>
      <w:proofErr w:type="gramEnd"/>
      <w:r w:rsidRPr="00107F48">
        <w:rPr>
          <w:rFonts w:ascii="微軟正黑體" w:eastAsia="微軟正黑體" w:hAnsi="微軟正黑體" w:cs="微軟正黑體" w:hint="eastAsia"/>
          <w:color w:val="385623" w:themeColor="accent6" w:themeShade="80"/>
          <w:szCs w:val="24"/>
        </w:rPr>
        <w:t xml:space="preserve"> [Download TCFD Limited Assurance Report by Certified Public Accountant]</w:t>
      </w:r>
    </w:p>
    <w:sectPr w:rsidR="000258EB" w:rsidRPr="009A720D" w:rsidSect="00684E0B">
      <w:headerReference w:type="default" r:id="rId14"/>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lena.chiu@W10V06-110" w:date="2025-04-11T15:28:00Z" w:initials="e">
    <w:p w14:paraId="55901447" w14:textId="6C5DC4A3" w:rsidR="0012261B" w:rsidRDefault="0012261B">
      <w:pPr>
        <w:pStyle w:val="ac"/>
      </w:pPr>
      <w:r>
        <w:rPr>
          <w:rStyle w:val="ab"/>
        </w:rPr>
        <w:annotationRef/>
      </w:r>
      <w:r>
        <w:rPr>
          <w:rFonts w:hint="eastAsia"/>
        </w:rPr>
        <w:t>發生可能性及財務衝擊用括號加</w:t>
      </w:r>
      <w:proofErr w:type="gramStart"/>
      <w:r>
        <w:rPr>
          <w:rFonts w:hint="eastAsia"/>
        </w:rPr>
        <w:t>註</w:t>
      </w:r>
      <w:proofErr w:type="gramEnd"/>
      <w:r>
        <w:rPr>
          <w:rFonts w:hint="eastAsia"/>
        </w:rPr>
        <w:t>,</w:t>
      </w:r>
      <w:r>
        <w:rPr>
          <w:rFonts w:hint="eastAsia"/>
        </w:rPr>
        <w:t>索引下面的可能性量表及財務衝擊量表</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90144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24890" w14:textId="77777777" w:rsidR="00684E0B" w:rsidRDefault="00684E0B" w:rsidP="00684E0B">
      <w:r>
        <w:separator/>
      </w:r>
    </w:p>
  </w:endnote>
  <w:endnote w:type="continuationSeparator" w:id="0">
    <w:p w14:paraId="7AD0C678" w14:textId="77777777" w:rsidR="00684E0B" w:rsidRDefault="00684E0B" w:rsidP="0068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31F0E" w14:textId="77777777" w:rsidR="00684E0B" w:rsidRDefault="00684E0B" w:rsidP="00684E0B">
      <w:r>
        <w:separator/>
      </w:r>
    </w:p>
  </w:footnote>
  <w:footnote w:type="continuationSeparator" w:id="0">
    <w:p w14:paraId="202F2DF0" w14:textId="77777777" w:rsidR="00684E0B" w:rsidRDefault="00684E0B" w:rsidP="00684E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76C0" w14:textId="77777777" w:rsidR="00684E0B" w:rsidRDefault="00684E0B">
    <w:pPr>
      <w:pStyle w:val="a4"/>
    </w:pPr>
    <w:r>
      <w:rPr>
        <w:noProof/>
      </w:rPr>
      <w:drawing>
        <wp:anchor distT="0" distB="0" distL="114300" distR="114300" simplePos="0" relativeHeight="251658240" behindDoc="0" locked="0" layoutInCell="1" allowOverlap="1" wp14:anchorId="77605A1B" wp14:editId="466DA522">
          <wp:simplePos x="0" y="0"/>
          <wp:positionH relativeFrom="column">
            <wp:posOffset>5218430</wp:posOffset>
          </wp:positionH>
          <wp:positionV relativeFrom="paragraph">
            <wp:posOffset>-320040</wp:posOffset>
          </wp:positionV>
          <wp:extent cx="1395095" cy="546100"/>
          <wp:effectExtent l="0" t="0" r="0" b="635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8B9"/>
    <w:multiLevelType w:val="hybridMultilevel"/>
    <w:tmpl w:val="9E70AB5C"/>
    <w:lvl w:ilvl="0" w:tplc="801068DA">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D143B7"/>
    <w:multiLevelType w:val="hybridMultilevel"/>
    <w:tmpl w:val="2BDE7016"/>
    <w:lvl w:ilvl="0" w:tplc="6128A742">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1A105E8"/>
    <w:multiLevelType w:val="hybridMultilevel"/>
    <w:tmpl w:val="8488C39A"/>
    <w:lvl w:ilvl="0" w:tplc="74FC838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451441"/>
    <w:multiLevelType w:val="hybridMultilevel"/>
    <w:tmpl w:val="7062DD5A"/>
    <w:lvl w:ilvl="0" w:tplc="1D62A7F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D27272"/>
    <w:multiLevelType w:val="hybridMultilevel"/>
    <w:tmpl w:val="919A697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ED96672"/>
    <w:multiLevelType w:val="hybridMultilevel"/>
    <w:tmpl w:val="C5420C2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1F94BD7"/>
    <w:multiLevelType w:val="hybridMultilevel"/>
    <w:tmpl w:val="5EC6490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AE172C"/>
    <w:multiLevelType w:val="hybridMultilevel"/>
    <w:tmpl w:val="54AEE7C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8677BAE"/>
    <w:multiLevelType w:val="hybridMultilevel"/>
    <w:tmpl w:val="101447AE"/>
    <w:lvl w:ilvl="0" w:tplc="6128A742">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86C1D76"/>
    <w:multiLevelType w:val="hybridMultilevel"/>
    <w:tmpl w:val="60DC34A0"/>
    <w:lvl w:ilvl="0" w:tplc="448E7568">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FF75146"/>
    <w:multiLevelType w:val="hybridMultilevel"/>
    <w:tmpl w:val="035C1BA2"/>
    <w:lvl w:ilvl="0" w:tplc="39829A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D93105"/>
    <w:multiLevelType w:val="hybridMultilevel"/>
    <w:tmpl w:val="B9102C4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0274A6C"/>
    <w:multiLevelType w:val="hybridMultilevel"/>
    <w:tmpl w:val="EE6EA26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6591607"/>
    <w:multiLevelType w:val="hybridMultilevel"/>
    <w:tmpl w:val="74B6F10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8F23A36"/>
    <w:multiLevelType w:val="hybridMultilevel"/>
    <w:tmpl w:val="44025592"/>
    <w:lvl w:ilvl="0" w:tplc="D3645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A82B1B"/>
    <w:multiLevelType w:val="hybridMultilevel"/>
    <w:tmpl w:val="D69A7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FB4737C"/>
    <w:multiLevelType w:val="hybridMultilevel"/>
    <w:tmpl w:val="6784BE3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2"/>
  </w:num>
  <w:num w:numId="2">
    <w:abstractNumId w:val="7"/>
  </w:num>
  <w:num w:numId="3">
    <w:abstractNumId w:val="16"/>
  </w:num>
  <w:num w:numId="4">
    <w:abstractNumId w:val="15"/>
  </w:num>
  <w:num w:numId="5">
    <w:abstractNumId w:val="2"/>
  </w:num>
  <w:num w:numId="6">
    <w:abstractNumId w:val="6"/>
  </w:num>
  <w:num w:numId="7">
    <w:abstractNumId w:val="9"/>
  </w:num>
  <w:num w:numId="8">
    <w:abstractNumId w:val="13"/>
  </w:num>
  <w:num w:numId="9">
    <w:abstractNumId w:val="5"/>
  </w:num>
  <w:num w:numId="10">
    <w:abstractNumId w:val="11"/>
  </w:num>
  <w:num w:numId="11">
    <w:abstractNumId w:val="4"/>
  </w:num>
  <w:num w:numId="12">
    <w:abstractNumId w:val="0"/>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
  </w:num>
  <w:num w:numId="18">
    <w:abstractNumId w:val="1"/>
  </w:num>
  <w:num w:numId="19">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a.chiu@W10V06-110">
    <w15:presenceInfo w15:providerId="None" w15:userId="elena.chiu@W10V0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A9"/>
    <w:rsid w:val="000258EB"/>
    <w:rsid w:val="000D132B"/>
    <w:rsid w:val="00107F48"/>
    <w:rsid w:val="0012261B"/>
    <w:rsid w:val="001351A9"/>
    <w:rsid w:val="00141E0D"/>
    <w:rsid w:val="0016096F"/>
    <w:rsid w:val="001A7E9D"/>
    <w:rsid w:val="002B3FB9"/>
    <w:rsid w:val="00392F4B"/>
    <w:rsid w:val="003961CB"/>
    <w:rsid w:val="003D5B1B"/>
    <w:rsid w:val="003E7C2D"/>
    <w:rsid w:val="004243B5"/>
    <w:rsid w:val="00426347"/>
    <w:rsid w:val="004A2B4E"/>
    <w:rsid w:val="004A3EA1"/>
    <w:rsid w:val="004C13B0"/>
    <w:rsid w:val="004D1CD4"/>
    <w:rsid w:val="005C58D1"/>
    <w:rsid w:val="005D0C6C"/>
    <w:rsid w:val="005D0D12"/>
    <w:rsid w:val="005E34AE"/>
    <w:rsid w:val="005E4308"/>
    <w:rsid w:val="006250D8"/>
    <w:rsid w:val="00632A88"/>
    <w:rsid w:val="00640C1B"/>
    <w:rsid w:val="006636A6"/>
    <w:rsid w:val="00684E0B"/>
    <w:rsid w:val="00721FED"/>
    <w:rsid w:val="007351A1"/>
    <w:rsid w:val="00735F52"/>
    <w:rsid w:val="0075175E"/>
    <w:rsid w:val="00752F9F"/>
    <w:rsid w:val="00760CB6"/>
    <w:rsid w:val="00777417"/>
    <w:rsid w:val="007966BD"/>
    <w:rsid w:val="007E3A22"/>
    <w:rsid w:val="008210DD"/>
    <w:rsid w:val="00841D86"/>
    <w:rsid w:val="008574FF"/>
    <w:rsid w:val="008C69FE"/>
    <w:rsid w:val="008D6020"/>
    <w:rsid w:val="00955763"/>
    <w:rsid w:val="009A720D"/>
    <w:rsid w:val="009B20D9"/>
    <w:rsid w:val="009F66DB"/>
    <w:rsid w:val="00A0438D"/>
    <w:rsid w:val="00A201EE"/>
    <w:rsid w:val="00A21EC9"/>
    <w:rsid w:val="00A31418"/>
    <w:rsid w:val="00A53975"/>
    <w:rsid w:val="00B00F54"/>
    <w:rsid w:val="00B24A53"/>
    <w:rsid w:val="00B3228F"/>
    <w:rsid w:val="00B344E9"/>
    <w:rsid w:val="00B415D0"/>
    <w:rsid w:val="00B70DB2"/>
    <w:rsid w:val="00C23FCC"/>
    <w:rsid w:val="00C46F69"/>
    <w:rsid w:val="00CB4E82"/>
    <w:rsid w:val="00CF27ED"/>
    <w:rsid w:val="00D03DE1"/>
    <w:rsid w:val="00DA3384"/>
    <w:rsid w:val="00DE33B5"/>
    <w:rsid w:val="00DF129F"/>
    <w:rsid w:val="00DF7932"/>
    <w:rsid w:val="00E470DE"/>
    <w:rsid w:val="00E6597A"/>
    <w:rsid w:val="00F36DED"/>
    <w:rsid w:val="00F73E31"/>
    <w:rsid w:val="00FC2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358066"/>
  <w15:chartTrackingRefBased/>
  <w15:docId w15:val="{A845A1D2-3793-465F-B329-00353A89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2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CD4"/>
    <w:pPr>
      <w:ind w:leftChars="200" w:left="480"/>
    </w:pPr>
  </w:style>
  <w:style w:type="paragraph" w:styleId="a4">
    <w:name w:val="header"/>
    <w:basedOn w:val="a"/>
    <w:link w:val="a5"/>
    <w:uiPriority w:val="99"/>
    <w:unhideWhenUsed/>
    <w:rsid w:val="00684E0B"/>
    <w:pPr>
      <w:tabs>
        <w:tab w:val="center" w:pos="4153"/>
        <w:tab w:val="right" w:pos="8306"/>
      </w:tabs>
      <w:snapToGrid w:val="0"/>
    </w:pPr>
    <w:rPr>
      <w:sz w:val="20"/>
      <w:szCs w:val="20"/>
    </w:rPr>
  </w:style>
  <w:style w:type="character" w:customStyle="1" w:styleId="a5">
    <w:name w:val="頁首 字元"/>
    <w:basedOn w:val="a0"/>
    <w:link w:val="a4"/>
    <w:uiPriority w:val="99"/>
    <w:rsid w:val="00684E0B"/>
    <w:rPr>
      <w:sz w:val="20"/>
      <w:szCs w:val="20"/>
    </w:rPr>
  </w:style>
  <w:style w:type="paragraph" w:styleId="a6">
    <w:name w:val="footer"/>
    <w:basedOn w:val="a"/>
    <w:link w:val="a7"/>
    <w:uiPriority w:val="99"/>
    <w:unhideWhenUsed/>
    <w:rsid w:val="00684E0B"/>
    <w:pPr>
      <w:tabs>
        <w:tab w:val="center" w:pos="4153"/>
        <w:tab w:val="right" w:pos="8306"/>
      </w:tabs>
      <w:snapToGrid w:val="0"/>
    </w:pPr>
    <w:rPr>
      <w:sz w:val="20"/>
      <w:szCs w:val="20"/>
    </w:rPr>
  </w:style>
  <w:style w:type="character" w:customStyle="1" w:styleId="a7">
    <w:name w:val="頁尾 字元"/>
    <w:basedOn w:val="a0"/>
    <w:link w:val="a6"/>
    <w:uiPriority w:val="99"/>
    <w:rsid w:val="00684E0B"/>
    <w:rPr>
      <w:sz w:val="20"/>
      <w:szCs w:val="20"/>
    </w:rPr>
  </w:style>
  <w:style w:type="table" w:styleId="a8">
    <w:name w:val="Table Grid"/>
    <w:basedOn w:val="a1"/>
    <w:uiPriority w:val="39"/>
    <w:rsid w:val="00F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3E3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73E3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B4E82"/>
    <w:rPr>
      <w:sz w:val="18"/>
      <w:szCs w:val="18"/>
    </w:rPr>
  </w:style>
  <w:style w:type="paragraph" w:styleId="ac">
    <w:name w:val="annotation text"/>
    <w:basedOn w:val="a"/>
    <w:link w:val="ad"/>
    <w:uiPriority w:val="99"/>
    <w:semiHidden/>
    <w:unhideWhenUsed/>
    <w:rsid w:val="00CB4E82"/>
  </w:style>
  <w:style w:type="character" w:customStyle="1" w:styleId="ad">
    <w:name w:val="註解文字 字元"/>
    <w:basedOn w:val="a0"/>
    <w:link w:val="ac"/>
    <w:uiPriority w:val="99"/>
    <w:semiHidden/>
    <w:rsid w:val="00CB4E82"/>
  </w:style>
  <w:style w:type="paragraph" w:styleId="ae">
    <w:name w:val="annotation subject"/>
    <w:basedOn w:val="ac"/>
    <w:next w:val="ac"/>
    <w:link w:val="af"/>
    <w:uiPriority w:val="99"/>
    <w:semiHidden/>
    <w:unhideWhenUsed/>
    <w:rsid w:val="00CB4E82"/>
    <w:rPr>
      <w:b/>
      <w:bCs/>
    </w:rPr>
  </w:style>
  <w:style w:type="character" w:customStyle="1" w:styleId="af">
    <w:name w:val="註解主旨 字元"/>
    <w:basedOn w:val="ad"/>
    <w:link w:val="ae"/>
    <w:uiPriority w:val="99"/>
    <w:semiHidden/>
    <w:rsid w:val="00CB4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6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elena.chiu@W10V06-110</dc:creator>
  <cp:keywords/>
  <dc:description/>
  <cp:lastModifiedBy>elena.chiu@W10V06-110</cp:lastModifiedBy>
  <cp:revision>15</cp:revision>
  <cp:lastPrinted>2024-12-23T06:31:00Z</cp:lastPrinted>
  <dcterms:created xsi:type="dcterms:W3CDTF">2024-12-30T09:06:00Z</dcterms:created>
  <dcterms:modified xsi:type="dcterms:W3CDTF">2025-04-11T07:31:00Z</dcterms:modified>
</cp:coreProperties>
</file>