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32F55F" w14:textId="77777777" w:rsidR="00132F4F" w:rsidRPr="00132F4F" w:rsidRDefault="00132F4F" w:rsidP="00132F4F">
      <w:pPr>
        <w:pStyle w:val="a3"/>
        <w:widowControl/>
        <w:numPr>
          <w:ilvl w:val="0"/>
          <w:numId w:val="24"/>
        </w:numPr>
        <w:spacing w:before="100" w:beforeAutospacing="1" w:after="100" w:afterAutospacing="1"/>
        <w:ind w:leftChars="0"/>
        <w:outlineLvl w:val="2"/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</w:pPr>
      <w:r w:rsidRPr="00132F4F"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  <w:t>Approved by the Science Based Targets initiative (</w:t>
      </w:r>
      <w:proofErr w:type="spellStart"/>
      <w:r w:rsidRPr="00132F4F"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  <w:t>SBTi</w:t>
      </w:r>
      <w:proofErr w:type="spellEnd"/>
      <w:r w:rsidRPr="00132F4F"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  <w:t>)</w:t>
      </w:r>
    </w:p>
    <w:p w14:paraId="0FFC32B4" w14:textId="77777777" w:rsidR="00132F4F" w:rsidRPr="00132F4F" w:rsidRDefault="00132F4F" w:rsidP="00132F4F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132F4F">
        <w:rPr>
          <w:rFonts w:ascii="新細明體" w:eastAsia="新細明體" w:hAnsi="新細明體" w:cs="新細明體"/>
          <w:kern w:val="0"/>
          <w:szCs w:val="24"/>
        </w:rPr>
        <w:t xml:space="preserve">In May 2024, </w:t>
      </w:r>
      <w:r w:rsidRPr="00132F4F">
        <w:rPr>
          <w:rFonts w:ascii="新細明體" w:eastAsia="新細明體" w:hAnsi="新細明體" w:cs="新細明體"/>
          <w:b/>
          <w:bCs/>
          <w:kern w:val="0"/>
          <w:szCs w:val="24"/>
        </w:rPr>
        <w:t xml:space="preserve">Global </w:t>
      </w:r>
      <w:proofErr w:type="spellStart"/>
      <w:r w:rsidRPr="00132F4F">
        <w:rPr>
          <w:rFonts w:ascii="新細明體" w:eastAsia="新細明體" w:hAnsi="新細明體" w:cs="新細明體"/>
          <w:b/>
          <w:bCs/>
          <w:kern w:val="0"/>
          <w:szCs w:val="24"/>
        </w:rPr>
        <w:t>Unichip</w:t>
      </w:r>
      <w:proofErr w:type="spellEnd"/>
      <w:r w:rsidRPr="00132F4F">
        <w:rPr>
          <w:rFonts w:ascii="新細明體" w:eastAsia="新細明體" w:hAnsi="新細明體" w:cs="新細明體"/>
          <w:b/>
          <w:bCs/>
          <w:kern w:val="0"/>
          <w:szCs w:val="24"/>
        </w:rPr>
        <w:t xml:space="preserve"> Corp. (GUC)</w:t>
      </w:r>
      <w:r w:rsidRPr="00132F4F">
        <w:rPr>
          <w:rFonts w:ascii="新細明體" w:eastAsia="新細明體" w:hAnsi="新細明體" w:cs="新細明體"/>
          <w:kern w:val="0"/>
          <w:szCs w:val="24"/>
        </w:rPr>
        <w:t xml:space="preserve"> received official approval from the </w:t>
      </w:r>
      <w:r w:rsidRPr="00132F4F">
        <w:rPr>
          <w:rFonts w:ascii="新細明體" w:eastAsia="新細明體" w:hAnsi="新細明體" w:cs="新細明體"/>
          <w:b/>
          <w:bCs/>
          <w:kern w:val="0"/>
          <w:szCs w:val="24"/>
        </w:rPr>
        <w:t>Science Based Targets initiative (</w:t>
      </w:r>
      <w:proofErr w:type="spellStart"/>
      <w:r w:rsidRPr="00132F4F">
        <w:rPr>
          <w:rFonts w:ascii="新細明體" w:eastAsia="新細明體" w:hAnsi="新細明體" w:cs="新細明體"/>
          <w:b/>
          <w:bCs/>
          <w:kern w:val="0"/>
          <w:szCs w:val="24"/>
        </w:rPr>
        <w:t>SBTi</w:t>
      </w:r>
      <w:proofErr w:type="spellEnd"/>
      <w:r w:rsidRPr="00132F4F">
        <w:rPr>
          <w:rFonts w:ascii="新細明體" w:eastAsia="新細明體" w:hAnsi="新細明體" w:cs="新細明體"/>
          <w:b/>
          <w:bCs/>
          <w:kern w:val="0"/>
          <w:szCs w:val="24"/>
        </w:rPr>
        <w:t>)</w:t>
      </w:r>
      <w:r w:rsidRPr="00132F4F">
        <w:rPr>
          <w:rFonts w:ascii="新細明體" w:eastAsia="新細明體" w:hAnsi="新細明體" w:cs="新細明體"/>
          <w:kern w:val="0"/>
          <w:szCs w:val="24"/>
        </w:rPr>
        <w:t xml:space="preserve"> for our submitted science-based emissions reduction targets.</w:t>
      </w:r>
      <w:r w:rsidRPr="00132F4F">
        <w:rPr>
          <w:rFonts w:ascii="新細明體" w:eastAsia="新細明體" w:hAnsi="新細明體" w:cs="新細明體"/>
          <w:kern w:val="0"/>
          <w:szCs w:val="24"/>
        </w:rPr>
        <w:br/>
      </w:r>
      <w:proofErr w:type="spellStart"/>
      <w:r w:rsidRPr="00132F4F">
        <w:rPr>
          <w:rFonts w:ascii="新細明體" w:eastAsia="新細明體" w:hAnsi="新細明體" w:cs="新細明體"/>
          <w:kern w:val="0"/>
          <w:szCs w:val="24"/>
        </w:rPr>
        <w:t>SBTi</w:t>
      </w:r>
      <w:proofErr w:type="spellEnd"/>
      <w:r w:rsidRPr="00132F4F">
        <w:rPr>
          <w:rFonts w:ascii="新細明體" w:eastAsia="新細明體" w:hAnsi="新細明體" w:cs="新細明體"/>
          <w:kern w:val="0"/>
          <w:szCs w:val="24"/>
        </w:rPr>
        <w:t xml:space="preserve"> is the world’s leading framework for establishing net-zero standards for businesses, supporting companies in setting both near- and long-term science-based emissions reduction goals. It provides clear pathways to reduce emissions, mitigate climate change, and safeguard growth against future risks.</w:t>
      </w:r>
    </w:p>
    <w:p w14:paraId="5931DA29" w14:textId="77777777" w:rsidR="00132F4F" w:rsidRPr="00132F4F" w:rsidRDefault="00132F4F" w:rsidP="00132F4F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132F4F">
        <w:rPr>
          <w:rFonts w:ascii="新細明體" w:eastAsia="新細明體" w:hAnsi="新細明體" w:cs="新細明體"/>
          <w:kern w:val="0"/>
          <w:szCs w:val="24"/>
        </w:rPr>
        <w:t xml:space="preserve">GUC’s targets align with the </w:t>
      </w:r>
      <w:r w:rsidRPr="00132F4F">
        <w:rPr>
          <w:rFonts w:ascii="新細明體" w:eastAsia="新細明體" w:hAnsi="新細明體" w:cs="新細明體"/>
          <w:b/>
          <w:bCs/>
          <w:kern w:val="0"/>
          <w:szCs w:val="24"/>
        </w:rPr>
        <w:t>1.5°C scenario</w:t>
      </w:r>
      <w:r w:rsidRPr="00132F4F">
        <w:rPr>
          <w:rFonts w:ascii="新細明體" w:eastAsia="新細明體" w:hAnsi="新細明體" w:cs="新細明體"/>
          <w:kern w:val="0"/>
          <w:szCs w:val="24"/>
        </w:rPr>
        <w:t xml:space="preserve">, the most stringent level of ambition under </w:t>
      </w:r>
      <w:proofErr w:type="spellStart"/>
      <w:r w:rsidRPr="00132F4F">
        <w:rPr>
          <w:rFonts w:ascii="新細明體" w:eastAsia="新細明體" w:hAnsi="新細明體" w:cs="新細明體"/>
          <w:kern w:val="0"/>
          <w:szCs w:val="24"/>
        </w:rPr>
        <w:t>SBTi</w:t>
      </w:r>
      <w:proofErr w:type="spellEnd"/>
      <w:r w:rsidRPr="00132F4F">
        <w:rPr>
          <w:rFonts w:ascii="新細明體" w:eastAsia="新細明體" w:hAnsi="新細明體" w:cs="新細明體"/>
          <w:kern w:val="0"/>
          <w:szCs w:val="24"/>
        </w:rPr>
        <w:t xml:space="preserve">. Based on 2022 as the base year, we aim to reduce greenhouse gas emissions by </w:t>
      </w:r>
      <w:r w:rsidRPr="00132F4F">
        <w:rPr>
          <w:rFonts w:ascii="新細明體" w:eastAsia="新細明體" w:hAnsi="新細明體" w:cs="新細明體"/>
          <w:b/>
          <w:bCs/>
          <w:kern w:val="0"/>
          <w:szCs w:val="24"/>
        </w:rPr>
        <w:t>42% by 2030</w:t>
      </w:r>
      <w:r w:rsidRPr="00132F4F">
        <w:rPr>
          <w:rFonts w:ascii="新細明體" w:eastAsia="新細明體" w:hAnsi="新細明體" w:cs="新細明體"/>
          <w:kern w:val="0"/>
          <w:szCs w:val="24"/>
        </w:rPr>
        <w:t xml:space="preserve"> (Scopes 1 and 2) across all domestic and overseas operations. This reduction will be achieved through initiatives such as energy efficiency programs, replacement of energy-intensive equipment, installation of solar photovoltaic systems, and increased use of renewable energy.</w:t>
      </w:r>
    </w:p>
    <w:p w14:paraId="688B4EA1" w14:textId="5FA5948A" w:rsidR="00132F4F" w:rsidRDefault="00132F4F" w:rsidP="00132F4F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132F4F">
        <w:rPr>
          <w:rFonts w:ascii="新細明體" w:eastAsia="新細明體" w:hAnsi="新細明體" w:cs="新細明體"/>
          <w:kern w:val="0"/>
          <w:szCs w:val="24"/>
        </w:rPr>
        <w:t xml:space="preserve">In the future, GUC will collaborate with suppliers to further promote energy-saving and carbon reduction efforts. We will disclose progress annually in our </w:t>
      </w:r>
      <w:r w:rsidRPr="00132F4F">
        <w:rPr>
          <w:rFonts w:ascii="新細明體" w:eastAsia="新細明體" w:hAnsi="新細明體" w:cs="新細明體"/>
          <w:b/>
          <w:bCs/>
          <w:kern w:val="0"/>
          <w:szCs w:val="24"/>
        </w:rPr>
        <w:t>Sustainability Report</w:t>
      </w:r>
      <w:r w:rsidRPr="00132F4F">
        <w:rPr>
          <w:rFonts w:ascii="新細明體" w:eastAsia="新細明體" w:hAnsi="新細明體" w:cs="新細明體"/>
          <w:kern w:val="0"/>
          <w:szCs w:val="24"/>
        </w:rPr>
        <w:t xml:space="preserve">, demonstrating our firm commitment to achieving </w:t>
      </w:r>
      <w:r w:rsidRPr="00132F4F">
        <w:rPr>
          <w:rFonts w:ascii="新細明體" w:eastAsia="新細明體" w:hAnsi="新細明體" w:cs="新細明體"/>
          <w:b/>
          <w:bCs/>
          <w:kern w:val="0"/>
          <w:szCs w:val="24"/>
        </w:rPr>
        <w:t>net-zero emissions in our operations by 2050</w:t>
      </w:r>
      <w:r w:rsidRPr="00132F4F">
        <w:rPr>
          <w:rFonts w:ascii="新細明體" w:eastAsia="新細明體" w:hAnsi="新細明體" w:cs="新細明體"/>
          <w:kern w:val="0"/>
          <w:szCs w:val="24"/>
        </w:rPr>
        <w:t>.</w:t>
      </w:r>
    </w:p>
    <w:p w14:paraId="6E405FE6" w14:textId="704F9566" w:rsidR="00132F4F" w:rsidRPr="00132F4F" w:rsidRDefault="00132F4F" w:rsidP="00132F4F">
      <w:pPr>
        <w:widowControl/>
        <w:spacing w:before="100" w:beforeAutospacing="1" w:after="100" w:afterAutospacing="1"/>
        <w:rPr>
          <w:rFonts w:ascii="新細明體" w:eastAsia="新細明體" w:hAnsi="新細明體" w:cs="新細明體" w:hint="eastAsia"/>
          <w:kern w:val="0"/>
          <w:szCs w:val="24"/>
        </w:rPr>
      </w:pPr>
      <w:r w:rsidRPr="00132F4F">
        <w:rPr>
          <w:rFonts w:ascii="新細明體" w:eastAsia="新細明體" w:hAnsi="新細明體" w:cs="新細明體"/>
          <w:kern w:val="0"/>
          <w:szCs w:val="24"/>
        </w:rPr>
        <w:t xml:space="preserve">⊕ [Download </w:t>
      </w:r>
      <w:proofErr w:type="spellStart"/>
      <w:r w:rsidRPr="00132F4F">
        <w:rPr>
          <w:rFonts w:ascii="新細明體" w:eastAsia="新細明體" w:hAnsi="新細明體" w:cs="新細明體"/>
          <w:kern w:val="0"/>
          <w:szCs w:val="24"/>
        </w:rPr>
        <w:t>SBTi</w:t>
      </w:r>
      <w:proofErr w:type="spellEnd"/>
      <w:r w:rsidRPr="00132F4F">
        <w:rPr>
          <w:rFonts w:ascii="新細明體" w:eastAsia="新細明體" w:hAnsi="新細明體" w:cs="新細明體"/>
          <w:kern w:val="0"/>
          <w:szCs w:val="24"/>
        </w:rPr>
        <w:t xml:space="preserve"> Target Approval Document]</w:t>
      </w:r>
    </w:p>
    <w:p w14:paraId="38E47AC8" w14:textId="30472A44" w:rsidR="00132F4F" w:rsidRPr="00132F4F" w:rsidRDefault="00132F4F" w:rsidP="00132F4F">
      <w:pPr>
        <w:widowControl/>
        <w:spacing w:before="100" w:beforeAutospacing="1" w:after="100" w:afterAutospacing="1"/>
        <w:jc w:val="center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Arial" w:eastAsia="微軟正黑體" w:hAnsi="Arial" w:cs="Arial"/>
          <w:noProof/>
          <w:szCs w:val="24"/>
        </w:rPr>
        <w:drawing>
          <wp:inline distT="0" distB="0" distL="0" distR="0" wp14:anchorId="352D43DA" wp14:editId="2490D12C">
            <wp:extent cx="4102735" cy="2091055"/>
            <wp:effectExtent l="0" t="0" r="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735" cy="2091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61BA6DC" w14:textId="77777777" w:rsidR="00132F4F" w:rsidRPr="00132F4F" w:rsidRDefault="00132F4F" w:rsidP="00132F4F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132F4F">
        <w:rPr>
          <w:rFonts w:ascii="新細明體" w:eastAsia="新細明體" w:hAnsi="新細明體" w:cs="新細明體"/>
          <w:kern w:val="0"/>
          <w:szCs w:val="24"/>
        </w:rPr>
        <w:pict w14:anchorId="7DAD216A">
          <v:rect id="_x0000_i1025" style="width:0;height:1.5pt" o:hralign="center" o:hrstd="t" o:hr="t" fillcolor="#a0a0a0" stroked="f"/>
        </w:pict>
      </w:r>
    </w:p>
    <w:p w14:paraId="3DDD102D" w14:textId="77777777" w:rsidR="00132F4F" w:rsidRPr="00132F4F" w:rsidRDefault="00132F4F" w:rsidP="00132F4F">
      <w:pPr>
        <w:pStyle w:val="a3"/>
        <w:widowControl/>
        <w:numPr>
          <w:ilvl w:val="0"/>
          <w:numId w:val="24"/>
        </w:numPr>
        <w:spacing w:before="100" w:beforeAutospacing="1" w:after="100" w:afterAutospacing="1"/>
        <w:ind w:leftChars="0"/>
        <w:outlineLvl w:val="2"/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</w:pPr>
      <w:r w:rsidRPr="00132F4F"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  <w:t>Greenhouse Gas (GHG) Inventory</w:t>
      </w:r>
    </w:p>
    <w:p w14:paraId="64C26869" w14:textId="77777777" w:rsidR="00132F4F" w:rsidRPr="00132F4F" w:rsidRDefault="00132F4F" w:rsidP="00132F4F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132F4F">
        <w:rPr>
          <w:rFonts w:ascii="新細明體" w:eastAsia="新細明體" w:hAnsi="新細明體" w:cs="新細明體"/>
          <w:kern w:val="0"/>
          <w:szCs w:val="24"/>
        </w:rPr>
        <w:t xml:space="preserve">Since 2019, GUC has conducted voluntary GHG inventories and implemented emissions management. Beginning in 2021, we adopted </w:t>
      </w:r>
      <w:r w:rsidRPr="00132F4F">
        <w:rPr>
          <w:rFonts w:ascii="新細明體" w:eastAsia="新細明體" w:hAnsi="新細明體" w:cs="新細明體"/>
          <w:b/>
          <w:bCs/>
          <w:kern w:val="0"/>
          <w:szCs w:val="24"/>
        </w:rPr>
        <w:t>ISO 14064-1</w:t>
      </w:r>
      <w:r w:rsidRPr="00132F4F">
        <w:rPr>
          <w:rFonts w:ascii="新細明體" w:eastAsia="新細明體" w:hAnsi="新細明體" w:cs="新細明體"/>
          <w:kern w:val="0"/>
          <w:szCs w:val="24"/>
        </w:rPr>
        <w:t xml:space="preserve"> standards and engaged third-party verification to ensure our processes meet international best practices. In 2023, to comply with </w:t>
      </w:r>
      <w:proofErr w:type="spellStart"/>
      <w:r w:rsidRPr="00132F4F">
        <w:rPr>
          <w:rFonts w:ascii="新細明體" w:eastAsia="新細明體" w:hAnsi="新細明體" w:cs="新細明體"/>
          <w:kern w:val="0"/>
          <w:szCs w:val="24"/>
        </w:rPr>
        <w:t>SBTi</w:t>
      </w:r>
      <w:proofErr w:type="spellEnd"/>
      <w:r w:rsidRPr="00132F4F">
        <w:rPr>
          <w:rFonts w:ascii="新細明體" w:eastAsia="新細明體" w:hAnsi="新細明體" w:cs="新細明體"/>
          <w:kern w:val="0"/>
          <w:szCs w:val="24"/>
        </w:rPr>
        <w:t xml:space="preserve"> Scope 3 classification and verification standards, GUC transitioned to using the </w:t>
      </w:r>
      <w:r w:rsidRPr="00132F4F">
        <w:rPr>
          <w:rFonts w:ascii="新細明體" w:eastAsia="新細明體" w:hAnsi="新細明體" w:cs="新細明體"/>
          <w:b/>
          <w:bCs/>
          <w:kern w:val="0"/>
          <w:szCs w:val="24"/>
        </w:rPr>
        <w:t>GHG Protocol</w:t>
      </w:r>
      <w:r w:rsidRPr="00132F4F">
        <w:rPr>
          <w:rFonts w:ascii="新細明體" w:eastAsia="新細明體" w:hAnsi="新細明體" w:cs="新細明體"/>
          <w:kern w:val="0"/>
          <w:szCs w:val="24"/>
        </w:rPr>
        <w:t>.</w:t>
      </w:r>
    </w:p>
    <w:p w14:paraId="112C6AB9" w14:textId="77777777" w:rsidR="00132F4F" w:rsidRPr="00132F4F" w:rsidRDefault="00132F4F" w:rsidP="00132F4F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132F4F">
        <w:rPr>
          <w:rFonts w:ascii="新細明體" w:eastAsia="新細明體" w:hAnsi="新細明體" w:cs="新細明體"/>
          <w:kern w:val="0"/>
          <w:szCs w:val="24"/>
        </w:rPr>
        <w:lastRenderedPageBreak/>
        <w:t xml:space="preserve">Our main emission source is </w:t>
      </w:r>
      <w:r w:rsidRPr="00132F4F">
        <w:rPr>
          <w:rFonts w:ascii="新細明體" w:eastAsia="新細明體" w:hAnsi="新細明體" w:cs="新細明體"/>
          <w:b/>
          <w:bCs/>
          <w:kern w:val="0"/>
          <w:szCs w:val="24"/>
        </w:rPr>
        <w:t>Scope 3</w:t>
      </w:r>
      <w:r w:rsidRPr="00132F4F">
        <w:rPr>
          <w:rFonts w:ascii="新細明體" w:eastAsia="新細明體" w:hAnsi="新細明體" w:cs="新細明體"/>
          <w:kern w:val="0"/>
          <w:szCs w:val="24"/>
        </w:rPr>
        <w:t xml:space="preserve">, followed by </w:t>
      </w:r>
      <w:r w:rsidRPr="00132F4F">
        <w:rPr>
          <w:rFonts w:ascii="新細明體" w:eastAsia="新細明體" w:hAnsi="新細明體" w:cs="新細明體"/>
          <w:b/>
          <w:bCs/>
          <w:kern w:val="0"/>
          <w:szCs w:val="24"/>
        </w:rPr>
        <w:t>Scope 2</w:t>
      </w:r>
      <w:r w:rsidRPr="00132F4F">
        <w:rPr>
          <w:rFonts w:ascii="新細明體" w:eastAsia="新細明體" w:hAnsi="新細明體" w:cs="新細明體"/>
          <w:kern w:val="0"/>
          <w:szCs w:val="24"/>
        </w:rPr>
        <w:t xml:space="preserve"> (energy use). </w:t>
      </w:r>
      <w:r w:rsidRPr="00132F4F">
        <w:rPr>
          <w:rFonts w:ascii="新細明體" w:eastAsia="新細明體" w:hAnsi="新細明體" w:cs="新細明體"/>
          <w:b/>
          <w:bCs/>
          <w:kern w:val="0"/>
          <w:szCs w:val="24"/>
        </w:rPr>
        <w:t>Scope 1</w:t>
      </w:r>
      <w:r w:rsidRPr="00132F4F">
        <w:rPr>
          <w:rFonts w:ascii="新細明體" w:eastAsia="新細明體" w:hAnsi="新細明體" w:cs="新細明體"/>
          <w:kern w:val="0"/>
          <w:szCs w:val="24"/>
        </w:rPr>
        <w:t xml:space="preserve"> includes:</w:t>
      </w:r>
    </w:p>
    <w:p w14:paraId="7007083B" w14:textId="77777777" w:rsidR="00132F4F" w:rsidRPr="00132F4F" w:rsidRDefault="00132F4F" w:rsidP="00132F4F">
      <w:pPr>
        <w:widowControl/>
        <w:numPr>
          <w:ilvl w:val="0"/>
          <w:numId w:val="20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132F4F">
        <w:rPr>
          <w:rFonts w:ascii="新細明體" w:eastAsia="新細明體" w:hAnsi="新細明體" w:cs="新細明體"/>
          <w:kern w:val="0"/>
          <w:szCs w:val="24"/>
        </w:rPr>
        <w:t>Stationary sources: Diesel for emergency generators</w:t>
      </w:r>
    </w:p>
    <w:p w14:paraId="58D3B525" w14:textId="77777777" w:rsidR="00132F4F" w:rsidRPr="00132F4F" w:rsidRDefault="00132F4F" w:rsidP="00132F4F">
      <w:pPr>
        <w:widowControl/>
        <w:numPr>
          <w:ilvl w:val="0"/>
          <w:numId w:val="20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132F4F">
        <w:rPr>
          <w:rFonts w:ascii="新細明體" w:eastAsia="新細明體" w:hAnsi="新細明體" w:cs="新細明體"/>
          <w:kern w:val="0"/>
          <w:szCs w:val="24"/>
        </w:rPr>
        <w:t>Mobile sources: Gasoline for company vehicles</w:t>
      </w:r>
    </w:p>
    <w:p w14:paraId="4CD93411" w14:textId="77777777" w:rsidR="00132F4F" w:rsidRPr="00132F4F" w:rsidRDefault="00132F4F" w:rsidP="00132F4F">
      <w:pPr>
        <w:widowControl/>
        <w:numPr>
          <w:ilvl w:val="0"/>
          <w:numId w:val="20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132F4F">
        <w:rPr>
          <w:rFonts w:ascii="新細明體" w:eastAsia="新細明體" w:hAnsi="新細明體" w:cs="新細明體"/>
          <w:kern w:val="0"/>
          <w:szCs w:val="24"/>
        </w:rPr>
        <w:t>Fugitive emissions: Refrigerants and fire extinguishers</w:t>
      </w:r>
    </w:p>
    <w:p w14:paraId="43AF5208" w14:textId="77777777" w:rsidR="00132F4F" w:rsidRPr="00132F4F" w:rsidRDefault="00132F4F" w:rsidP="00132F4F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132F4F">
        <w:rPr>
          <w:rFonts w:ascii="新細明體" w:eastAsia="新細明體" w:hAnsi="新細明體" w:cs="新細明體"/>
          <w:kern w:val="0"/>
          <w:szCs w:val="24"/>
        </w:rPr>
        <w:t xml:space="preserve">GUC operates as an office-based organization with </w:t>
      </w:r>
      <w:r w:rsidRPr="00132F4F">
        <w:rPr>
          <w:rFonts w:ascii="新細明體" w:eastAsia="新細明體" w:hAnsi="新細明體" w:cs="新細明體"/>
          <w:b/>
          <w:bCs/>
          <w:kern w:val="0"/>
          <w:szCs w:val="24"/>
        </w:rPr>
        <w:t>no manufacturing processes</w:t>
      </w:r>
      <w:r w:rsidRPr="00132F4F">
        <w:rPr>
          <w:rFonts w:ascii="新細明體" w:eastAsia="新細明體" w:hAnsi="新細明體" w:cs="新細明體"/>
          <w:kern w:val="0"/>
          <w:szCs w:val="24"/>
        </w:rPr>
        <w:t>, and therefore, no process-related GHG emissions.</w:t>
      </w:r>
    </w:p>
    <w:p w14:paraId="37EADF4A" w14:textId="3078174C" w:rsidR="00132F4F" w:rsidRPr="00132F4F" w:rsidRDefault="00132F4F" w:rsidP="00132F4F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132F4F">
        <w:rPr>
          <w:rFonts w:ascii="新細明體" w:eastAsia="新細明體" w:hAnsi="新細明體" w:cs="新細明體"/>
          <w:kern w:val="0"/>
          <w:szCs w:val="24"/>
        </w:rPr>
        <w:t>⊕ [Download Greenhouse Gas Verification Statement]</w:t>
      </w:r>
    </w:p>
    <w:p w14:paraId="4884E051" w14:textId="77777777" w:rsidR="00132F4F" w:rsidRPr="00132F4F" w:rsidRDefault="00132F4F" w:rsidP="00132F4F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132F4F">
        <w:rPr>
          <w:rFonts w:ascii="新細明體" w:eastAsia="新細明體" w:hAnsi="新細明體" w:cs="新細明體"/>
          <w:kern w:val="0"/>
          <w:szCs w:val="24"/>
        </w:rPr>
        <w:pict w14:anchorId="75E7DF42">
          <v:rect id="_x0000_i1026" style="width:0;height:1.5pt" o:hralign="center" o:hrstd="t" o:hr="t" fillcolor="#a0a0a0" stroked="f"/>
        </w:pict>
      </w:r>
    </w:p>
    <w:p w14:paraId="2C9E5360" w14:textId="77777777" w:rsidR="00132F4F" w:rsidRPr="00132F4F" w:rsidRDefault="00132F4F" w:rsidP="00132F4F">
      <w:pPr>
        <w:widowControl/>
        <w:spacing w:before="100" w:beforeAutospacing="1" w:after="100" w:afterAutospacing="1"/>
        <w:outlineLvl w:val="2"/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</w:pPr>
      <w:r w:rsidRPr="00132F4F"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  <w:t>GHG Emissions and Intensity (</w:t>
      </w:r>
      <w:proofErr w:type="spellStart"/>
      <w:r w:rsidRPr="00132F4F"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  <w:t>tCO</w:t>
      </w:r>
      <w:r w:rsidRPr="00132F4F">
        <w:rPr>
          <w:rFonts w:ascii="Times New Roman" w:eastAsia="新細明體" w:hAnsi="Times New Roman" w:cs="Times New Roman"/>
          <w:b/>
          <w:bCs/>
          <w:kern w:val="0"/>
          <w:sz w:val="27"/>
          <w:szCs w:val="27"/>
        </w:rPr>
        <w:t>₂</w:t>
      </w:r>
      <w:r w:rsidRPr="00132F4F"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  <w:t>e</w:t>
      </w:r>
      <w:proofErr w:type="spellEnd"/>
      <w:r w:rsidRPr="00132F4F"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  <w:t>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54"/>
        <w:gridCol w:w="1114"/>
        <w:gridCol w:w="1321"/>
        <w:gridCol w:w="1361"/>
      </w:tblGrid>
      <w:tr w:rsidR="00132F4F" w:rsidRPr="00132F4F" w14:paraId="4BF3BD4F" w14:textId="77777777" w:rsidTr="00132F4F">
        <w:trPr>
          <w:tblHeader/>
          <w:tblCellSpacing w:w="15" w:type="dxa"/>
        </w:trPr>
        <w:tc>
          <w:tcPr>
            <w:tcW w:w="0" w:type="auto"/>
            <w:shd w:val="clear" w:color="auto" w:fill="8EAADB" w:themeFill="accent5" w:themeFillTint="99"/>
            <w:vAlign w:val="center"/>
            <w:hideMark/>
          </w:tcPr>
          <w:p w14:paraId="50F15C72" w14:textId="77777777" w:rsidR="00132F4F" w:rsidRPr="00132F4F" w:rsidRDefault="00132F4F" w:rsidP="00132F4F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132F4F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Category</w:t>
            </w:r>
          </w:p>
        </w:tc>
        <w:tc>
          <w:tcPr>
            <w:tcW w:w="0" w:type="auto"/>
            <w:shd w:val="clear" w:color="auto" w:fill="8EAADB" w:themeFill="accent5" w:themeFillTint="99"/>
            <w:vAlign w:val="center"/>
            <w:hideMark/>
          </w:tcPr>
          <w:p w14:paraId="567461B2" w14:textId="77777777" w:rsidR="00132F4F" w:rsidRPr="00132F4F" w:rsidRDefault="00132F4F" w:rsidP="00132F4F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132F4F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2022</w:t>
            </w:r>
          </w:p>
        </w:tc>
        <w:tc>
          <w:tcPr>
            <w:tcW w:w="0" w:type="auto"/>
            <w:shd w:val="clear" w:color="auto" w:fill="8EAADB" w:themeFill="accent5" w:themeFillTint="99"/>
            <w:vAlign w:val="center"/>
            <w:hideMark/>
          </w:tcPr>
          <w:p w14:paraId="49D4D32A" w14:textId="77777777" w:rsidR="00132F4F" w:rsidRPr="00132F4F" w:rsidRDefault="00132F4F" w:rsidP="00132F4F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132F4F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2023</w:t>
            </w:r>
          </w:p>
        </w:tc>
        <w:tc>
          <w:tcPr>
            <w:tcW w:w="1316" w:type="dxa"/>
            <w:shd w:val="clear" w:color="auto" w:fill="8EAADB" w:themeFill="accent5" w:themeFillTint="99"/>
            <w:vAlign w:val="center"/>
            <w:hideMark/>
          </w:tcPr>
          <w:p w14:paraId="04B5C283" w14:textId="77777777" w:rsidR="00132F4F" w:rsidRPr="00132F4F" w:rsidRDefault="00132F4F" w:rsidP="00132F4F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132F4F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2024</w:t>
            </w:r>
          </w:p>
        </w:tc>
      </w:tr>
      <w:tr w:rsidR="00132F4F" w:rsidRPr="00132F4F" w14:paraId="420532EB" w14:textId="77777777" w:rsidTr="00132F4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B24F7F" w14:textId="77777777" w:rsidR="00132F4F" w:rsidRPr="00132F4F" w:rsidRDefault="00132F4F" w:rsidP="00132F4F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32F4F">
              <w:rPr>
                <w:rFonts w:ascii="新細明體" w:eastAsia="新細明體" w:hAnsi="新細明體" w:cs="新細明體"/>
                <w:kern w:val="0"/>
                <w:szCs w:val="24"/>
              </w:rPr>
              <w:t>Scope 1</w:t>
            </w:r>
          </w:p>
        </w:tc>
        <w:tc>
          <w:tcPr>
            <w:tcW w:w="0" w:type="auto"/>
            <w:vAlign w:val="center"/>
            <w:hideMark/>
          </w:tcPr>
          <w:p w14:paraId="33A0A623" w14:textId="77777777" w:rsidR="00132F4F" w:rsidRPr="00132F4F" w:rsidRDefault="00132F4F" w:rsidP="00132F4F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32F4F">
              <w:rPr>
                <w:rFonts w:ascii="新細明體" w:eastAsia="新細明體" w:hAnsi="新細明體" w:cs="新細明體"/>
                <w:kern w:val="0"/>
                <w:szCs w:val="24"/>
              </w:rPr>
              <w:t>174.8613</w:t>
            </w:r>
          </w:p>
        </w:tc>
        <w:tc>
          <w:tcPr>
            <w:tcW w:w="0" w:type="auto"/>
            <w:vAlign w:val="center"/>
            <w:hideMark/>
          </w:tcPr>
          <w:p w14:paraId="35124EE1" w14:textId="77777777" w:rsidR="00132F4F" w:rsidRPr="00132F4F" w:rsidRDefault="00132F4F" w:rsidP="00132F4F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32F4F">
              <w:rPr>
                <w:rFonts w:ascii="新細明體" w:eastAsia="新細明體" w:hAnsi="新細明體" w:cs="新細明體"/>
                <w:kern w:val="0"/>
                <w:szCs w:val="24"/>
              </w:rPr>
              <w:t>933.0934</w:t>
            </w:r>
          </w:p>
        </w:tc>
        <w:tc>
          <w:tcPr>
            <w:tcW w:w="1316" w:type="dxa"/>
            <w:vAlign w:val="center"/>
            <w:hideMark/>
          </w:tcPr>
          <w:p w14:paraId="1A68D021" w14:textId="77777777" w:rsidR="00132F4F" w:rsidRPr="00132F4F" w:rsidRDefault="00132F4F" w:rsidP="00132F4F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32F4F">
              <w:rPr>
                <w:rFonts w:ascii="新細明體" w:eastAsia="新細明體" w:hAnsi="新細明體" w:cs="新細明體"/>
                <w:kern w:val="0"/>
                <w:szCs w:val="24"/>
              </w:rPr>
              <w:t>–</w:t>
            </w:r>
          </w:p>
        </w:tc>
      </w:tr>
      <w:tr w:rsidR="00132F4F" w:rsidRPr="00132F4F" w14:paraId="3FBEF55B" w14:textId="77777777" w:rsidTr="00132F4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7F2C4C" w14:textId="77777777" w:rsidR="00132F4F" w:rsidRPr="00132F4F" w:rsidRDefault="00132F4F" w:rsidP="00132F4F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32F4F">
              <w:rPr>
                <w:rFonts w:ascii="新細明體" w:eastAsia="新細明體" w:hAnsi="新細明體" w:cs="新細明體"/>
                <w:kern w:val="0"/>
                <w:szCs w:val="24"/>
              </w:rPr>
              <w:t>Scope 2</w:t>
            </w:r>
          </w:p>
        </w:tc>
        <w:tc>
          <w:tcPr>
            <w:tcW w:w="0" w:type="auto"/>
            <w:vAlign w:val="center"/>
            <w:hideMark/>
          </w:tcPr>
          <w:p w14:paraId="15D35207" w14:textId="77777777" w:rsidR="00132F4F" w:rsidRPr="00132F4F" w:rsidRDefault="00132F4F" w:rsidP="00132F4F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32F4F">
              <w:rPr>
                <w:rFonts w:ascii="新細明體" w:eastAsia="新細明體" w:hAnsi="新細明體" w:cs="新細明體"/>
                <w:kern w:val="0"/>
                <w:szCs w:val="24"/>
              </w:rPr>
              <w:t>8,708.6177</w:t>
            </w:r>
          </w:p>
        </w:tc>
        <w:tc>
          <w:tcPr>
            <w:tcW w:w="0" w:type="auto"/>
            <w:vAlign w:val="center"/>
            <w:hideMark/>
          </w:tcPr>
          <w:p w14:paraId="66FE9807" w14:textId="77777777" w:rsidR="00132F4F" w:rsidRPr="00132F4F" w:rsidRDefault="00132F4F" w:rsidP="00132F4F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32F4F">
              <w:rPr>
                <w:rFonts w:ascii="新細明體" w:eastAsia="新細明體" w:hAnsi="新細明體" w:cs="新細明體"/>
                <w:kern w:val="0"/>
                <w:szCs w:val="24"/>
              </w:rPr>
              <w:t>9,417.9627</w:t>
            </w:r>
          </w:p>
        </w:tc>
        <w:tc>
          <w:tcPr>
            <w:tcW w:w="1316" w:type="dxa"/>
            <w:vAlign w:val="center"/>
            <w:hideMark/>
          </w:tcPr>
          <w:p w14:paraId="501B3B4E" w14:textId="77777777" w:rsidR="00132F4F" w:rsidRPr="00132F4F" w:rsidRDefault="00132F4F" w:rsidP="00132F4F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32F4F">
              <w:rPr>
                <w:rFonts w:ascii="新細明體" w:eastAsia="新細明體" w:hAnsi="新細明體" w:cs="新細明體"/>
                <w:kern w:val="0"/>
                <w:szCs w:val="24"/>
              </w:rPr>
              <w:t>–</w:t>
            </w:r>
          </w:p>
        </w:tc>
      </w:tr>
      <w:tr w:rsidR="00132F4F" w:rsidRPr="00132F4F" w14:paraId="7D5C5B6F" w14:textId="77777777" w:rsidTr="00132F4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D76B9E" w14:textId="77777777" w:rsidR="00132F4F" w:rsidRPr="00132F4F" w:rsidRDefault="00132F4F" w:rsidP="00132F4F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32F4F">
              <w:rPr>
                <w:rFonts w:ascii="新細明體" w:eastAsia="新細明體" w:hAnsi="新細明體" w:cs="新細明體"/>
                <w:kern w:val="0"/>
                <w:szCs w:val="24"/>
              </w:rPr>
              <w:t>Scope 3</w:t>
            </w:r>
          </w:p>
        </w:tc>
        <w:tc>
          <w:tcPr>
            <w:tcW w:w="0" w:type="auto"/>
            <w:vAlign w:val="center"/>
            <w:hideMark/>
          </w:tcPr>
          <w:p w14:paraId="324851C8" w14:textId="77777777" w:rsidR="00132F4F" w:rsidRPr="00132F4F" w:rsidRDefault="00132F4F" w:rsidP="00132F4F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32F4F">
              <w:rPr>
                <w:rFonts w:ascii="新細明體" w:eastAsia="新細明體" w:hAnsi="新細明體" w:cs="新細明體"/>
                <w:kern w:val="0"/>
                <w:szCs w:val="24"/>
              </w:rPr>
              <w:t>1,598.0109</w:t>
            </w:r>
          </w:p>
        </w:tc>
        <w:tc>
          <w:tcPr>
            <w:tcW w:w="0" w:type="auto"/>
            <w:vAlign w:val="center"/>
            <w:hideMark/>
          </w:tcPr>
          <w:p w14:paraId="1B764724" w14:textId="77777777" w:rsidR="00132F4F" w:rsidRPr="00132F4F" w:rsidRDefault="00132F4F" w:rsidP="00132F4F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32F4F">
              <w:rPr>
                <w:rFonts w:ascii="新細明體" w:eastAsia="新細明體" w:hAnsi="新細明體" w:cs="新細明體"/>
                <w:kern w:val="0"/>
                <w:szCs w:val="24"/>
              </w:rPr>
              <w:t>892,149.6187</w:t>
            </w:r>
          </w:p>
        </w:tc>
        <w:tc>
          <w:tcPr>
            <w:tcW w:w="1316" w:type="dxa"/>
            <w:vAlign w:val="center"/>
            <w:hideMark/>
          </w:tcPr>
          <w:p w14:paraId="2393EF9F" w14:textId="77777777" w:rsidR="00132F4F" w:rsidRPr="00132F4F" w:rsidRDefault="00132F4F" w:rsidP="00132F4F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32F4F">
              <w:rPr>
                <w:rFonts w:ascii="新細明體" w:eastAsia="新細明體" w:hAnsi="新細明體" w:cs="新細明體"/>
                <w:kern w:val="0"/>
                <w:szCs w:val="24"/>
              </w:rPr>
              <w:t>–</w:t>
            </w:r>
          </w:p>
        </w:tc>
      </w:tr>
      <w:tr w:rsidR="00132F4F" w:rsidRPr="00132F4F" w14:paraId="1D931A63" w14:textId="77777777" w:rsidTr="00132F4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2CA5C3" w14:textId="77777777" w:rsidR="00132F4F" w:rsidRPr="00132F4F" w:rsidRDefault="00132F4F" w:rsidP="00132F4F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32F4F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Total Emissions</w:t>
            </w:r>
          </w:p>
        </w:tc>
        <w:tc>
          <w:tcPr>
            <w:tcW w:w="0" w:type="auto"/>
            <w:vAlign w:val="center"/>
            <w:hideMark/>
          </w:tcPr>
          <w:p w14:paraId="5AE00E2B" w14:textId="77777777" w:rsidR="00132F4F" w:rsidRPr="00132F4F" w:rsidRDefault="00132F4F" w:rsidP="00132F4F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32F4F">
              <w:rPr>
                <w:rFonts w:ascii="新細明體" w:eastAsia="新細明體" w:hAnsi="新細明體" w:cs="新細明體"/>
                <w:kern w:val="0"/>
                <w:szCs w:val="24"/>
              </w:rPr>
              <w:t>10,481.490</w:t>
            </w:r>
          </w:p>
        </w:tc>
        <w:tc>
          <w:tcPr>
            <w:tcW w:w="0" w:type="auto"/>
            <w:vAlign w:val="center"/>
            <w:hideMark/>
          </w:tcPr>
          <w:p w14:paraId="608C69C7" w14:textId="77777777" w:rsidR="00132F4F" w:rsidRPr="00132F4F" w:rsidRDefault="00132F4F" w:rsidP="00132F4F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32F4F">
              <w:rPr>
                <w:rFonts w:ascii="新細明體" w:eastAsia="新細明體" w:hAnsi="新細明體" w:cs="新細明體"/>
                <w:kern w:val="0"/>
                <w:szCs w:val="24"/>
              </w:rPr>
              <w:t>902,500.675</w:t>
            </w:r>
          </w:p>
        </w:tc>
        <w:tc>
          <w:tcPr>
            <w:tcW w:w="1316" w:type="dxa"/>
            <w:vAlign w:val="center"/>
            <w:hideMark/>
          </w:tcPr>
          <w:p w14:paraId="05C2CF30" w14:textId="77777777" w:rsidR="00132F4F" w:rsidRPr="00132F4F" w:rsidRDefault="00132F4F" w:rsidP="00132F4F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32F4F">
              <w:rPr>
                <w:rFonts w:ascii="新細明體" w:eastAsia="新細明體" w:hAnsi="新細明體" w:cs="新細明體"/>
                <w:kern w:val="0"/>
                <w:szCs w:val="24"/>
              </w:rPr>
              <w:t>–</w:t>
            </w:r>
          </w:p>
        </w:tc>
      </w:tr>
      <w:tr w:rsidR="00132F4F" w:rsidRPr="00132F4F" w14:paraId="4453908D" w14:textId="77777777" w:rsidTr="00132F4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68196A" w14:textId="77777777" w:rsidR="00132F4F" w:rsidRPr="00132F4F" w:rsidRDefault="00132F4F" w:rsidP="00132F4F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32F4F">
              <w:rPr>
                <w:rFonts w:ascii="新細明體" w:eastAsia="新細明體" w:hAnsi="新細明體" w:cs="新細明體"/>
                <w:kern w:val="0"/>
                <w:szCs w:val="24"/>
              </w:rPr>
              <w:t>Revenue (NT$ million)</w:t>
            </w:r>
          </w:p>
        </w:tc>
        <w:tc>
          <w:tcPr>
            <w:tcW w:w="0" w:type="auto"/>
            <w:vAlign w:val="center"/>
            <w:hideMark/>
          </w:tcPr>
          <w:p w14:paraId="47A3BBFE" w14:textId="77777777" w:rsidR="00132F4F" w:rsidRPr="00132F4F" w:rsidRDefault="00132F4F" w:rsidP="00132F4F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32F4F">
              <w:rPr>
                <w:rFonts w:ascii="新細明體" w:eastAsia="新細明體" w:hAnsi="新細明體" w:cs="新細明體"/>
                <w:kern w:val="0"/>
                <w:szCs w:val="24"/>
              </w:rPr>
              <w:t>24,040</w:t>
            </w:r>
          </w:p>
        </w:tc>
        <w:tc>
          <w:tcPr>
            <w:tcW w:w="0" w:type="auto"/>
            <w:vAlign w:val="center"/>
            <w:hideMark/>
          </w:tcPr>
          <w:p w14:paraId="6F6FD9DC" w14:textId="77777777" w:rsidR="00132F4F" w:rsidRPr="00132F4F" w:rsidRDefault="00132F4F" w:rsidP="00132F4F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32F4F">
              <w:rPr>
                <w:rFonts w:ascii="新細明體" w:eastAsia="新細明體" w:hAnsi="新細明體" w:cs="新細明體"/>
                <w:kern w:val="0"/>
                <w:szCs w:val="24"/>
              </w:rPr>
              <w:t>26,241</w:t>
            </w:r>
          </w:p>
        </w:tc>
        <w:tc>
          <w:tcPr>
            <w:tcW w:w="1316" w:type="dxa"/>
            <w:vAlign w:val="center"/>
            <w:hideMark/>
          </w:tcPr>
          <w:p w14:paraId="3105BDEA" w14:textId="77777777" w:rsidR="00132F4F" w:rsidRPr="00132F4F" w:rsidRDefault="00132F4F" w:rsidP="00132F4F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32F4F">
              <w:rPr>
                <w:rFonts w:ascii="新細明體" w:eastAsia="新細明體" w:hAnsi="新細明體" w:cs="新細明體"/>
                <w:kern w:val="0"/>
                <w:szCs w:val="24"/>
              </w:rPr>
              <w:t>–</w:t>
            </w:r>
          </w:p>
        </w:tc>
        <w:bookmarkStart w:id="0" w:name="_GoBack"/>
        <w:bookmarkEnd w:id="0"/>
      </w:tr>
      <w:tr w:rsidR="00132F4F" w:rsidRPr="00132F4F" w14:paraId="2439B118" w14:textId="77777777" w:rsidTr="00132F4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DD4331" w14:textId="77777777" w:rsidR="00132F4F" w:rsidRPr="00132F4F" w:rsidRDefault="00132F4F" w:rsidP="00132F4F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32F4F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GHG Emission Intensity</w:t>
            </w:r>
            <w:r w:rsidRPr="00132F4F">
              <w:rPr>
                <w:rFonts w:ascii="新細明體" w:eastAsia="新細明體" w:hAnsi="新細明體" w:cs="新細明體"/>
                <w:kern w:val="0"/>
                <w:szCs w:val="24"/>
              </w:rPr>
              <w:t>*</w:t>
            </w:r>
          </w:p>
        </w:tc>
        <w:tc>
          <w:tcPr>
            <w:tcW w:w="0" w:type="auto"/>
            <w:vAlign w:val="center"/>
            <w:hideMark/>
          </w:tcPr>
          <w:p w14:paraId="4767A410" w14:textId="77777777" w:rsidR="00132F4F" w:rsidRPr="00132F4F" w:rsidRDefault="00132F4F" w:rsidP="00132F4F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32F4F">
              <w:rPr>
                <w:rFonts w:ascii="新細明體" w:eastAsia="新細明體" w:hAnsi="新細明體" w:cs="新細明體"/>
                <w:kern w:val="0"/>
                <w:szCs w:val="24"/>
              </w:rPr>
              <w:t>0.000044%</w:t>
            </w:r>
          </w:p>
        </w:tc>
        <w:tc>
          <w:tcPr>
            <w:tcW w:w="0" w:type="auto"/>
            <w:vAlign w:val="center"/>
            <w:hideMark/>
          </w:tcPr>
          <w:p w14:paraId="6E0DDDEA" w14:textId="77777777" w:rsidR="00132F4F" w:rsidRPr="00132F4F" w:rsidRDefault="00132F4F" w:rsidP="00132F4F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32F4F">
              <w:rPr>
                <w:rFonts w:ascii="新細明體" w:eastAsia="新細明體" w:hAnsi="新細明體" w:cs="新細明體"/>
                <w:kern w:val="0"/>
                <w:szCs w:val="24"/>
              </w:rPr>
              <w:t>0.003439%</w:t>
            </w:r>
          </w:p>
        </w:tc>
        <w:tc>
          <w:tcPr>
            <w:tcW w:w="1316" w:type="dxa"/>
            <w:vAlign w:val="center"/>
            <w:hideMark/>
          </w:tcPr>
          <w:p w14:paraId="25074DA0" w14:textId="77777777" w:rsidR="00132F4F" w:rsidRPr="00132F4F" w:rsidRDefault="00132F4F" w:rsidP="00132F4F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32F4F">
              <w:rPr>
                <w:rFonts w:ascii="新細明體" w:eastAsia="新細明體" w:hAnsi="新細明體" w:cs="新細明體"/>
                <w:kern w:val="0"/>
                <w:szCs w:val="24"/>
              </w:rPr>
              <w:t>–</w:t>
            </w:r>
          </w:p>
        </w:tc>
      </w:tr>
    </w:tbl>
    <w:p w14:paraId="544BA183" w14:textId="77777777" w:rsidR="00132F4F" w:rsidRPr="00132F4F" w:rsidRDefault="00132F4F" w:rsidP="00132F4F">
      <w:pPr>
        <w:widowControl/>
        <w:spacing w:beforeAutospacing="1" w:afterAutospacing="1"/>
        <w:rPr>
          <w:rFonts w:ascii="新細明體" w:eastAsia="新細明體" w:hAnsi="新細明體" w:cs="新細明體"/>
          <w:kern w:val="0"/>
          <w:sz w:val="18"/>
          <w:szCs w:val="24"/>
        </w:rPr>
      </w:pPr>
      <w:r w:rsidRPr="00132F4F">
        <w:rPr>
          <w:rFonts w:ascii="新細明體" w:eastAsia="新細明體" w:hAnsi="新細明體" w:cs="新細明體"/>
          <w:kern w:val="0"/>
          <w:sz w:val="18"/>
          <w:szCs w:val="24"/>
        </w:rPr>
        <w:t>*GHG Emission Intensity = Total Emissions / Annual Revenue</w:t>
      </w:r>
    </w:p>
    <w:p w14:paraId="747FF67A" w14:textId="77777777" w:rsidR="00132F4F" w:rsidRPr="00132F4F" w:rsidRDefault="00132F4F" w:rsidP="00132F4F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132F4F">
        <w:rPr>
          <w:rFonts w:ascii="新細明體" w:eastAsia="新細明體" w:hAnsi="新細明體" w:cs="新細明體"/>
          <w:kern w:val="0"/>
          <w:szCs w:val="24"/>
        </w:rPr>
        <w:pict w14:anchorId="5B6CDBA3">
          <v:rect id="_x0000_i1027" style="width:0;height:1.5pt" o:hralign="center" o:hrstd="t" o:hr="t" fillcolor="#a0a0a0" stroked="f"/>
        </w:pict>
      </w:r>
    </w:p>
    <w:p w14:paraId="6C1FA8FE" w14:textId="77777777" w:rsidR="00132F4F" w:rsidRPr="00132F4F" w:rsidRDefault="00132F4F" w:rsidP="00132F4F">
      <w:pPr>
        <w:pStyle w:val="a3"/>
        <w:widowControl/>
        <w:numPr>
          <w:ilvl w:val="0"/>
          <w:numId w:val="24"/>
        </w:numPr>
        <w:spacing w:before="100" w:beforeAutospacing="1" w:after="100" w:afterAutospacing="1"/>
        <w:ind w:leftChars="0"/>
        <w:outlineLvl w:val="2"/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</w:pPr>
      <w:r w:rsidRPr="00132F4F"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  <w:t>Energy Management Plan</w:t>
      </w:r>
    </w:p>
    <w:p w14:paraId="15A31016" w14:textId="77777777" w:rsidR="00132F4F" w:rsidRPr="00132F4F" w:rsidRDefault="00132F4F" w:rsidP="00132F4F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132F4F">
        <w:rPr>
          <w:rFonts w:ascii="新細明體" w:eastAsia="新細明體" w:hAnsi="新細明體" w:cs="新細明體"/>
          <w:kern w:val="0"/>
          <w:szCs w:val="24"/>
        </w:rPr>
        <w:t xml:space="preserve">To reduce GHG emissions and actively address climate change, GUC has set </w:t>
      </w:r>
      <w:r w:rsidRPr="00132F4F">
        <w:rPr>
          <w:rFonts w:ascii="新細明體" w:eastAsia="新細明體" w:hAnsi="新細明體" w:cs="新細明體"/>
          <w:b/>
          <w:bCs/>
          <w:kern w:val="0"/>
          <w:szCs w:val="24"/>
        </w:rPr>
        <w:t>clear energy-saving and carbon reduction goals</w:t>
      </w:r>
      <w:r w:rsidRPr="00132F4F">
        <w:rPr>
          <w:rFonts w:ascii="新細明體" w:eastAsia="新細明體" w:hAnsi="新細明體" w:cs="新細明體"/>
          <w:kern w:val="0"/>
          <w:szCs w:val="24"/>
        </w:rPr>
        <w:t xml:space="preserve"> and is taking concrete action. We emphasize </w:t>
      </w:r>
      <w:r w:rsidRPr="00132F4F">
        <w:rPr>
          <w:rFonts w:ascii="新細明體" w:eastAsia="新細明體" w:hAnsi="新細明體" w:cs="新細明體"/>
          <w:b/>
          <w:bCs/>
          <w:kern w:val="0"/>
          <w:szCs w:val="24"/>
        </w:rPr>
        <w:t>green innovation design</w:t>
      </w:r>
      <w:r w:rsidRPr="00132F4F">
        <w:rPr>
          <w:rFonts w:ascii="新細明體" w:eastAsia="新細明體" w:hAnsi="新細明體" w:cs="新細明體"/>
          <w:kern w:val="0"/>
          <w:szCs w:val="24"/>
        </w:rPr>
        <w:t xml:space="preserve"> and the promotion of </w:t>
      </w:r>
      <w:r w:rsidRPr="00132F4F">
        <w:rPr>
          <w:rFonts w:ascii="新細明體" w:eastAsia="新細明體" w:hAnsi="新細明體" w:cs="新細明體"/>
          <w:b/>
          <w:bCs/>
          <w:kern w:val="0"/>
          <w:szCs w:val="24"/>
        </w:rPr>
        <w:t>sustainable office practices</w:t>
      </w:r>
      <w:r w:rsidRPr="00132F4F">
        <w:rPr>
          <w:rFonts w:ascii="新細明體" w:eastAsia="新細明體" w:hAnsi="新細明體" w:cs="新細明體"/>
          <w:kern w:val="0"/>
          <w:szCs w:val="24"/>
        </w:rPr>
        <w:t>, while raising employee environmental awareness through educational campaigns and practical initiatives.</w:t>
      </w:r>
    </w:p>
    <w:p w14:paraId="2BACE08E" w14:textId="77777777" w:rsidR="00132F4F" w:rsidRPr="00132F4F" w:rsidRDefault="00132F4F" w:rsidP="00132F4F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132F4F">
        <w:rPr>
          <w:rFonts w:ascii="新細明體" w:eastAsia="新細明體" w:hAnsi="新細明體" w:cs="新細明體"/>
          <w:kern w:val="0"/>
          <w:szCs w:val="24"/>
        </w:rPr>
        <w:t>Our actions include upgrading facility performance, replacing outdated equipment, optimizing operational efficiency, and implementing site-wide energy-saving policies in both factories and offices.</w:t>
      </w:r>
    </w:p>
    <w:p w14:paraId="222F62C8" w14:textId="77777777" w:rsidR="00132F4F" w:rsidRPr="00132F4F" w:rsidRDefault="00132F4F" w:rsidP="00132F4F">
      <w:pPr>
        <w:widowControl/>
        <w:spacing w:before="100" w:beforeAutospacing="1" w:after="100" w:afterAutospacing="1"/>
        <w:outlineLvl w:val="3"/>
        <w:rPr>
          <w:rFonts w:ascii="新細明體" w:eastAsia="新細明體" w:hAnsi="新細明體" w:cs="新細明體"/>
          <w:b/>
          <w:bCs/>
          <w:kern w:val="0"/>
          <w:szCs w:val="24"/>
        </w:rPr>
      </w:pPr>
      <w:r w:rsidRPr="00132F4F">
        <w:rPr>
          <w:rFonts w:ascii="新細明體" w:eastAsia="新細明體" w:hAnsi="新細明體" w:cs="新細明體"/>
          <w:b/>
          <w:bCs/>
          <w:kern w:val="0"/>
          <w:szCs w:val="24"/>
        </w:rPr>
        <w:t>Sustainable Office Culture</w:t>
      </w:r>
    </w:p>
    <w:p w14:paraId="0EED592B" w14:textId="77777777" w:rsidR="00132F4F" w:rsidRPr="00132F4F" w:rsidRDefault="00132F4F" w:rsidP="00132F4F">
      <w:pPr>
        <w:widowControl/>
        <w:numPr>
          <w:ilvl w:val="0"/>
          <w:numId w:val="21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132F4F">
        <w:rPr>
          <w:rFonts w:ascii="新細明體" w:eastAsia="新細明體" w:hAnsi="新細明體" w:cs="新細明體"/>
          <w:kern w:val="0"/>
          <w:szCs w:val="24"/>
        </w:rPr>
        <w:t>Encourage stair use instead of elevators</w:t>
      </w:r>
    </w:p>
    <w:p w14:paraId="4282772D" w14:textId="77777777" w:rsidR="00132F4F" w:rsidRPr="00132F4F" w:rsidRDefault="00132F4F" w:rsidP="00132F4F">
      <w:pPr>
        <w:widowControl/>
        <w:numPr>
          <w:ilvl w:val="0"/>
          <w:numId w:val="21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132F4F">
        <w:rPr>
          <w:rFonts w:ascii="新細明體" w:eastAsia="新細明體" w:hAnsi="新細明體" w:cs="新細明體"/>
          <w:kern w:val="0"/>
          <w:szCs w:val="24"/>
        </w:rPr>
        <w:lastRenderedPageBreak/>
        <w:t>Lights off during lunch breaks in office areas</w:t>
      </w:r>
    </w:p>
    <w:p w14:paraId="2222C7CD" w14:textId="77777777" w:rsidR="00132F4F" w:rsidRPr="00132F4F" w:rsidRDefault="00132F4F" w:rsidP="00132F4F">
      <w:pPr>
        <w:widowControl/>
        <w:numPr>
          <w:ilvl w:val="0"/>
          <w:numId w:val="21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132F4F">
        <w:rPr>
          <w:rFonts w:ascii="新細明體" w:eastAsia="新細明體" w:hAnsi="新細明體" w:cs="新細明體"/>
          <w:kern w:val="0"/>
          <w:szCs w:val="24"/>
        </w:rPr>
        <w:t>Natural lighting through windows and skylights in corridors</w:t>
      </w:r>
    </w:p>
    <w:p w14:paraId="2B57BDC5" w14:textId="77777777" w:rsidR="00132F4F" w:rsidRPr="00132F4F" w:rsidRDefault="00132F4F" w:rsidP="00132F4F">
      <w:pPr>
        <w:widowControl/>
        <w:numPr>
          <w:ilvl w:val="0"/>
          <w:numId w:val="21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132F4F">
        <w:rPr>
          <w:rFonts w:ascii="新細明體" w:eastAsia="新細明體" w:hAnsi="新細明體" w:cs="新細明體"/>
          <w:kern w:val="0"/>
          <w:szCs w:val="24"/>
        </w:rPr>
        <w:t>Energy- and water-saving reminders near switches and restrooms</w:t>
      </w:r>
    </w:p>
    <w:p w14:paraId="6017EE2E" w14:textId="77777777" w:rsidR="00132F4F" w:rsidRPr="00132F4F" w:rsidRDefault="00132F4F" w:rsidP="00132F4F">
      <w:pPr>
        <w:widowControl/>
        <w:spacing w:before="100" w:beforeAutospacing="1" w:after="100" w:afterAutospacing="1"/>
        <w:outlineLvl w:val="3"/>
        <w:rPr>
          <w:rFonts w:ascii="新細明體" w:eastAsia="新細明體" w:hAnsi="新細明體" w:cs="新細明體"/>
          <w:b/>
          <w:bCs/>
          <w:kern w:val="0"/>
          <w:szCs w:val="24"/>
        </w:rPr>
      </w:pPr>
      <w:r w:rsidRPr="00132F4F">
        <w:rPr>
          <w:rFonts w:ascii="新細明體" w:eastAsia="新細明體" w:hAnsi="新細明體" w:cs="新細明體"/>
          <w:b/>
          <w:bCs/>
          <w:kern w:val="0"/>
          <w:szCs w:val="24"/>
        </w:rPr>
        <w:t>Time-Controlled Energy Management</w:t>
      </w:r>
    </w:p>
    <w:p w14:paraId="11193CB8" w14:textId="77777777" w:rsidR="00132F4F" w:rsidRPr="00132F4F" w:rsidRDefault="00132F4F" w:rsidP="00132F4F">
      <w:pPr>
        <w:widowControl/>
        <w:numPr>
          <w:ilvl w:val="0"/>
          <w:numId w:val="22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132F4F">
        <w:rPr>
          <w:rFonts w:ascii="新細明體" w:eastAsia="新細明體" w:hAnsi="新細明體" w:cs="新細明體"/>
          <w:kern w:val="0"/>
          <w:szCs w:val="24"/>
        </w:rPr>
        <w:t>Water dispensers managed by electronic timers for off-peak sterilization and heating</w:t>
      </w:r>
    </w:p>
    <w:p w14:paraId="103B28CD" w14:textId="77777777" w:rsidR="00132F4F" w:rsidRPr="00132F4F" w:rsidRDefault="00132F4F" w:rsidP="00132F4F">
      <w:pPr>
        <w:widowControl/>
        <w:numPr>
          <w:ilvl w:val="0"/>
          <w:numId w:val="22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132F4F">
        <w:rPr>
          <w:rFonts w:ascii="新細明體" w:eastAsia="新細明體" w:hAnsi="新細明體" w:cs="新細明體"/>
          <w:kern w:val="0"/>
          <w:szCs w:val="24"/>
        </w:rPr>
        <w:t>Central monitoring system optimizes equipment runtime</w:t>
      </w:r>
    </w:p>
    <w:p w14:paraId="4898FEAA" w14:textId="77777777" w:rsidR="00132F4F" w:rsidRPr="00132F4F" w:rsidRDefault="00132F4F" w:rsidP="00132F4F">
      <w:pPr>
        <w:widowControl/>
        <w:numPr>
          <w:ilvl w:val="0"/>
          <w:numId w:val="22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132F4F">
        <w:rPr>
          <w:rFonts w:ascii="新細明體" w:eastAsia="新細明體" w:hAnsi="新細明體" w:cs="新細明體"/>
          <w:kern w:val="0"/>
          <w:szCs w:val="24"/>
        </w:rPr>
        <w:t>Shortened ventilation fan operation in parking areas, except during peak hours</w:t>
      </w:r>
    </w:p>
    <w:p w14:paraId="306E9075" w14:textId="77777777" w:rsidR="00132F4F" w:rsidRPr="00132F4F" w:rsidRDefault="00132F4F" w:rsidP="00132F4F">
      <w:pPr>
        <w:widowControl/>
        <w:numPr>
          <w:ilvl w:val="0"/>
          <w:numId w:val="22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132F4F">
        <w:rPr>
          <w:rFonts w:ascii="新細明體" w:eastAsia="新細明體" w:hAnsi="新細明體" w:cs="新細明體"/>
          <w:kern w:val="0"/>
          <w:szCs w:val="24"/>
        </w:rPr>
        <w:t>Emergency staircase pressure fans controlled with timed switches</w:t>
      </w:r>
    </w:p>
    <w:p w14:paraId="1CA8A409" w14:textId="77777777" w:rsidR="00132F4F" w:rsidRPr="00132F4F" w:rsidRDefault="00132F4F" w:rsidP="00132F4F">
      <w:pPr>
        <w:widowControl/>
        <w:spacing w:before="100" w:beforeAutospacing="1" w:after="100" w:afterAutospacing="1"/>
        <w:outlineLvl w:val="3"/>
        <w:rPr>
          <w:rFonts w:ascii="新細明體" w:eastAsia="新細明體" w:hAnsi="新細明體" w:cs="新細明體"/>
          <w:b/>
          <w:bCs/>
          <w:kern w:val="0"/>
          <w:szCs w:val="24"/>
        </w:rPr>
      </w:pPr>
      <w:r w:rsidRPr="00132F4F">
        <w:rPr>
          <w:rFonts w:ascii="新細明體" w:eastAsia="新細明體" w:hAnsi="新細明體" w:cs="新細明體"/>
          <w:b/>
          <w:bCs/>
          <w:kern w:val="0"/>
          <w:szCs w:val="24"/>
        </w:rPr>
        <w:t>Efficiency Maintenance</w:t>
      </w:r>
    </w:p>
    <w:p w14:paraId="0CA9A458" w14:textId="77777777" w:rsidR="00132F4F" w:rsidRPr="00132F4F" w:rsidRDefault="00132F4F" w:rsidP="00132F4F">
      <w:pPr>
        <w:widowControl/>
        <w:numPr>
          <w:ilvl w:val="0"/>
          <w:numId w:val="23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132F4F">
        <w:rPr>
          <w:rFonts w:ascii="新細明體" w:eastAsia="新細明體" w:hAnsi="新細明體" w:cs="新細明體"/>
          <w:kern w:val="0"/>
          <w:szCs w:val="24"/>
        </w:rPr>
        <w:t>Use of energy-efficient appliances (air conditioners, refrigerators)</w:t>
      </w:r>
    </w:p>
    <w:p w14:paraId="63128AD9" w14:textId="77777777" w:rsidR="00132F4F" w:rsidRPr="00132F4F" w:rsidRDefault="00132F4F" w:rsidP="00132F4F">
      <w:pPr>
        <w:widowControl/>
        <w:numPr>
          <w:ilvl w:val="0"/>
          <w:numId w:val="23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132F4F">
        <w:rPr>
          <w:rFonts w:ascii="新細明體" w:eastAsia="新細明體" w:hAnsi="新細明體" w:cs="新細明體"/>
          <w:kern w:val="0"/>
          <w:szCs w:val="24"/>
        </w:rPr>
        <w:t>Chilled water system output temperature set to above 8°C</w:t>
      </w:r>
    </w:p>
    <w:p w14:paraId="5965A097" w14:textId="77777777" w:rsidR="00132F4F" w:rsidRPr="00132F4F" w:rsidRDefault="00132F4F" w:rsidP="00132F4F">
      <w:pPr>
        <w:widowControl/>
        <w:numPr>
          <w:ilvl w:val="0"/>
          <w:numId w:val="23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132F4F">
        <w:rPr>
          <w:rFonts w:ascii="新細明體" w:eastAsia="新細明體" w:hAnsi="新細明體" w:cs="新細明體"/>
          <w:kern w:val="0"/>
          <w:szCs w:val="24"/>
        </w:rPr>
        <w:t>Indoor AC temperature set at optimal 26°C</w:t>
      </w:r>
    </w:p>
    <w:p w14:paraId="4D634FEB" w14:textId="44295409" w:rsidR="009A1689" w:rsidRPr="00132F4F" w:rsidRDefault="00132F4F" w:rsidP="00132F4F">
      <w:pPr>
        <w:widowControl/>
        <w:numPr>
          <w:ilvl w:val="0"/>
          <w:numId w:val="23"/>
        </w:numPr>
        <w:spacing w:before="100" w:beforeAutospacing="1" w:after="100" w:afterAutospacing="1"/>
        <w:rPr>
          <w:rFonts w:ascii="新細明體" w:eastAsia="新細明體" w:hAnsi="新細明體" w:cs="新細明體" w:hint="eastAsia"/>
          <w:kern w:val="0"/>
          <w:szCs w:val="24"/>
        </w:rPr>
      </w:pPr>
      <w:r w:rsidRPr="00132F4F">
        <w:rPr>
          <w:rFonts w:ascii="新細明體" w:eastAsia="新細明體" w:hAnsi="新細明體" w:cs="新細明體"/>
          <w:kern w:val="0"/>
          <w:szCs w:val="24"/>
        </w:rPr>
        <w:t>Cooling tower fan activation based on water return temperature, with added control valves for heat dissipation</w:t>
      </w:r>
    </w:p>
    <w:sectPr w:rsidR="009A1689" w:rsidRPr="00132F4F" w:rsidSect="00684E0B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1199CF" w14:textId="77777777" w:rsidR="00684E0B" w:rsidRDefault="00684E0B" w:rsidP="00684E0B">
      <w:r>
        <w:separator/>
      </w:r>
    </w:p>
  </w:endnote>
  <w:endnote w:type="continuationSeparator" w:id="0">
    <w:p w14:paraId="15FDBCDD" w14:textId="77777777" w:rsidR="00684E0B" w:rsidRDefault="00684E0B" w:rsidP="00684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F52B7C" w14:textId="77777777" w:rsidR="00684E0B" w:rsidRDefault="00684E0B" w:rsidP="00684E0B">
      <w:r>
        <w:separator/>
      </w:r>
    </w:p>
  </w:footnote>
  <w:footnote w:type="continuationSeparator" w:id="0">
    <w:p w14:paraId="0270E30F" w14:textId="77777777" w:rsidR="00684E0B" w:rsidRDefault="00684E0B" w:rsidP="00684E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CD65FE" w14:textId="77777777" w:rsidR="00684E0B" w:rsidRDefault="00684E0B">
    <w:pPr>
      <w:pStyle w:val="a4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92131C9" wp14:editId="497FB599">
          <wp:simplePos x="0" y="0"/>
          <wp:positionH relativeFrom="column">
            <wp:posOffset>5218430</wp:posOffset>
          </wp:positionH>
          <wp:positionV relativeFrom="paragraph">
            <wp:posOffset>-320040</wp:posOffset>
          </wp:positionV>
          <wp:extent cx="1395095" cy="546100"/>
          <wp:effectExtent l="0" t="0" r="0" b="6350"/>
          <wp:wrapSquare wrapText="bothSides"/>
          <wp:docPr id="2" name="圖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5095" cy="546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068B9"/>
    <w:multiLevelType w:val="hybridMultilevel"/>
    <w:tmpl w:val="9E70AB5C"/>
    <w:lvl w:ilvl="0" w:tplc="801068DA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9D143B7"/>
    <w:multiLevelType w:val="hybridMultilevel"/>
    <w:tmpl w:val="2BDE7016"/>
    <w:lvl w:ilvl="0" w:tplc="6128A742">
      <w:start w:val="1"/>
      <w:numFmt w:val="taiwaneseCountingThousand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1A105E8"/>
    <w:multiLevelType w:val="hybridMultilevel"/>
    <w:tmpl w:val="8488C39A"/>
    <w:lvl w:ilvl="0" w:tplc="74FC838A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FD27272"/>
    <w:multiLevelType w:val="hybridMultilevel"/>
    <w:tmpl w:val="919A697C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51854FD"/>
    <w:multiLevelType w:val="multilevel"/>
    <w:tmpl w:val="72BAC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A824E9"/>
    <w:multiLevelType w:val="hybridMultilevel"/>
    <w:tmpl w:val="670CC60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80220DC"/>
    <w:multiLevelType w:val="multilevel"/>
    <w:tmpl w:val="C1463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D96672"/>
    <w:multiLevelType w:val="hybridMultilevel"/>
    <w:tmpl w:val="C5420C2C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31F94BD7"/>
    <w:multiLevelType w:val="hybridMultilevel"/>
    <w:tmpl w:val="5EC64900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326F7791"/>
    <w:multiLevelType w:val="hybridMultilevel"/>
    <w:tmpl w:val="91BC62B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35AE172C"/>
    <w:multiLevelType w:val="hybridMultilevel"/>
    <w:tmpl w:val="54AEE7C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38677BAE"/>
    <w:multiLevelType w:val="hybridMultilevel"/>
    <w:tmpl w:val="101447AE"/>
    <w:lvl w:ilvl="0" w:tplc="6128A742">
      <w:start w:val="1"/>
      <w:numFmt w:val="taiwaneseCountingThousand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86C1D76"/>
    <w:multiLevelType w:val="hybridMultilevel"/>
    <w:tmpl w:val="60DC34A0"/>
    <w:lvl w:ilvl="0" w:tplc="448E7568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4C620CDB"/>
    <w:multiLevelType w:val="multilevel"/>
    <w:tmpl w:val="D6DA1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CE770EF"/>
    <w:multiLevelType w:val="multilevel"/>
    <w:tmpl w:val="A5CC1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1A73D13"/>
    <w:multiLevelType w:val="hybridMultilevel"/>
    <w:tmpl w:val="5C0457DE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5293281E"/>
    <w:multiLevelType w:val="hybridMultilevel"/>
    <w:tmpl w:val="7756BC2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64D93105"/>
    <w:multiLevelType w:val="hybridMultilevel"/>
    <w:tmpl w:val="B9102C42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70274A6C"/>
    <w:multiLevelType w:val="hybridMultilevel"/>
    <w:tmpl w:val="1C00A666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76591607"/>
    <w:multiLevelType w:val="hybridMultilevel"/>
    <w:tmpl w:val="74B6F10C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7FA82B1B"/>
    <w:multiLevelType w:val="hybridMultilevel"/>
    <w:tmpl w:val="D69A70C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7FB4737C"/>
    <w:multiLevelType w:val="hybridMultilevel"/>
    <w:tmpl w:val="6784BE32"/>
    <w:lvl w:ilvl="0" w:tplc="04090015">
      <w:start w:val="1"/>
      <w:numFmt w:val="taiwaneseCountingThousand"/>
      <w:lvlText w:val="%1、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>
    <w:abstractNumId w:val="18"/>
  </w:num>
  <w:num w:numId="2">
    <w:abstractNumId w:val="10"/>
  </w:num>
  <w:num w:numId="3">
    <w:abstractNumId w:val="21"/>
  </w:num>
  <w:num w:numId="4">
    <w:abstractNumId w:val="20"/>
  </w:num>
  <w:num w:numId="5">
    <w:abstractNumId w:val="2"/>
  </w:num>
  <w:num w:numId="6">
    <w:abstractNumId w:val="8"/>
  </w:num>
  <w:num w:numId="7">
    <w:abstractNumId w:val="12"/>
  </w:num>
  <w:num w:numId="8">
    <w:abstractNumId w:val="19"/>
  </w:num>
  <w:num w:numId="9">
    <w:abstractNumId w:val="7"/>
  </w:num>
  <w:num w:numId="10">
    <w:abstractNumId w:val="17"/>
  </w:num>
  <w:num w:numId="11">
    <w:abstractNumId w:val="3"/>
  </w:num>
  <w:num w:numId="12">
    <w:abstractNumId w:val="0"/>
  </w:num>
  <w:num w:numId="13">
    <w:abstractNumId w:val="18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9"/>
  </w:num>
  <w:num w:numId="18">
    <w:abstractNumId w:val="5"/>
  </w:num>
  <w:num w:numId="19">
    <w:abstractNumId w:val="16"/>
  </w:num>
  <w:num w:numId="20">
    <w:abstractNumId w:val="4"/>
  </w:num>
  <w:num w:numId="21">
    <w:abstractNumId w:val="6"/>
  </w:num>
  <w:num w:numId="22">
    <w:abstractNumId w:val="14"/>
  </w:num>
  <w:num w:numId="23">
    <w:abstractNumId w:val="13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zh-TW" w:vendorID="64" w:dllVersion="131077" w:nlCheck="1" w:checkStyle="1"/>
  <w:activeWritingStyle w:appName="MSWord" w:lang="en-US" w:vendorID="64" w:dllVersion="131078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1A9"/>
    <w:rsid w:val="000258EB"/>
    <w:rsid w:val="000B4C75"/>
    <w:rsid w:val="000B5328"/>
    <w:rsid w:val="000D132B"/>
    <w:rsid w:val="00132F4F"/>
    <w:rsid w:val="001351A9"/>
    <w:rsid w:val="00141E0D"/>
    <w:rsid w:val="0016096F"/>
    <w:rsid w:val="001A7E9D"/>
    <w:rsid w:val="002960DD"/>
    <w:rsid w:val="002B3FB9"/>
    <w:rsid w:val="00392F4B"/>
    <w:rsid w:val="003D5B1B"/>
    <w:rsid w:val="003E7C2D"/>
    <w:rsid w:val="004243B5"/>
    <w:rsid w:val="00426347"/>
    <w:rsid w:val="004A2B4E"/>
    <w:rsid w:val="004A3EA1"/>
    <w:rsid w:val="004C13B0"/>
    <w:rsid w:val="004D1CD4"/>
    <w:rsid w:val="0051441B"/>
    <w:rsid w:val="005C58D1"/>
    <w:rsid w:val="005D0C6C"/>
    <w:rsid w:val="005D0D12"/>
    <w:rsid w:val="005E34AE"/>
    <w:rsid w:val="005E4308"/>
    <w:rsid w:val="006250D8"/>
    <w:rsid w:val="00640C1B"/>
    <w:rsid w:val="006636A6"/>
    <w:rsid w:val="00684E0B"/>
    <w:rsid w:val="00721FED"/>
    <w:rsid w:val="00735F52"/>
    <w:rsid w:val="0075175E"/>
    <w:rsid w:val="00760CB6"/>
    <w:rsid w:val="00777417"/>
    <w:rsid w:val="007966BD"/>
    <w:rsid w:val="007D2EA1"/>
    <w:rsid w:val="00841D86"/>
    <w:rsid w:val="00894270"/>
    <w:rsid w:val="008C69FE"/>
    <w:rsid w:val="008D6020"/>
    <w:rsid w:val="00955763"/>
    <w:rsid w:val="009A1689"/>
    <w:rsid w:val="009B20D9"/>
    <w:rsid w:val="009F66DB"/>
    <w:rsid w:val="00A0438D"/>
    <w:rsid w:val="00A201EE"/>
    <w:rsid w:val="00A21EC9"/>
    <w:rsid w:val="00A2595A"/>
    <w:rsid w:val="00A31418"/>
    <w:rsid w:val="00A53975"/>
    <w:rsid w:val="00A54D34"/>
    <w:rsid w:val="00AA7817"/>
    <w:rsid w:val="00AB3886"/>
    <w:rsid w:val="00AE3415"/>
    <w:rsid w:val="00AE5AB9"/>
    <w:rsid w:val="00B00F54"/>
    <w:rsid w:val="00B070F5"/>
    <w:rsid w:val="00B3228F"/>
    <w:rsid w:val="00B415D0"/>
    <w:rsid w:val="00B70DB2"/>
    <w:rsid w:val="00BD5196"/>
    <w:rsid w:val="00C23FCC"/>
    <w:rsid w:val="00CF27ED"/>
    <w:rsid w:val="00D03DE1"/>
    <w:rsid w:val="00DA3384"/>
    <w:rsid w:val="00DC18F4"/>
    <w:rsid w:val="00DE33B5"/>
    <w:rsid w:val="00DF129F"/>
    <w:rsid w:val="00DF7932"/>
    <w:rsid w:val="00E470DE"/>
    <w:rsid w:val="00E6597A"/>
    <w:rsid w:val="00F36DED"/>
    <w:rsid w:val="00F73E31"/>
    <w:rsid w:val="00FC2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51AE9055"/>
  <w15:chartTrackingRefBased/>
  <w15:docId w15:val="{A845A1D2-3793-465F-B329-00353A89D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328"/>
    <w:pPr>
      <w:widowControl w:val="0"/>
    </w:pPr>
  </w:style>
  <w:style w:type="paragraph" w:styleId="3">
    <w:name w:val="heading 3"/>
    <w:basedOn w:val="a"/>
    <w:link w:val="30"/>
    <w:uiPriority w:val="9"/>
    <w:qFormat/>
    <w:rsid w:val="00132F4F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4">
    <w:name w:val="heading 4"/>
    <w:basedOn w:val="a"/>
    <w:link w:val="40"/>
    <w:uiPriority w:val="9"/>
    <w:qFormat/>
    <w:rsid w:val="00132F4F"/>
    <w:pPr>
      <w:widowControl/>
      <w:spacing w:before="100" w:beforeAutospacing="1" w:after="100" w:afterAutospacing="1"/>
      <w:outlineLvl w:val="3"/>
    </w:pPr>
    <w:rPr>
      <w:rFonts w:ascii="新細明體" w:eastAsia="新細明體" w:hAnsi="新細明體" w:cs="新細明體"/>
      <w:b/>
      <w:bCs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1CD4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684E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84E0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84E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84E0B"/>
    <w:rPr>
      <w:sz w:val="20"/>
      <w:szCs w:val="20"/>
    </w:rPr>
  </w:style>
  <w:style w:type="table" w:styleId="a8">
    <w:name w:val="Table Grid"/>
    <w:basedOn w:val="a1"/>
    <w:uiPriority w:val="39"/>
    <w:rsid w:val="00F73E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73E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F73E31"/>
    <w:rPr>
      <w:rFonts w:asciiTheme="majorHAnsi" w:eastAsiaTheme="majorEastAsia" w:hAnsiTheme="majorHAnsi" w:cstheme="majorBidi"/>
      <w:sz w:val="18"/>
      <w:szCs w:val="18"/>
    </w:rPr>
  </w:style>
  <w:style w:type="character" w:customStyle="1" w:styleId="30">
    <w:name w:val="標題 3 字元"/>
    <w:basedOn w:val="a0"/>
    <w:link w:val="3"/>
    <w:uiPriority w:val="9"/>
    <w:rsid w:val="00132F4F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customStyle="1" w:styleId="40">
    <w:name w:val="標題 4 字元"/>
    <w:basedOn w:val="a0"/>
    <w:link w:val="4"/>
    <w:uiPriority w:val="9"/>
    <w:rsid w:val="00132F4F"/>
    <w:rPr>
      <w:rFonts w:ascii="新細明體" w:eastAsia="新細明體" w:hAnsi="新細明體" w:cs="新細明體"/>
      <w:b/>
      <w:bCs/>
      <w:kern w:val="0"/>
      <w:szCs w:val="24"/>
    </w:rPr>
  </w:style>
  <w:style w:type="character" w:styleId="ab">
    <w:name w:val="Strong"/>
    <w:basedOn w:val="a0"/>
    <w:uiPriority w:val="22"/>
    <w:qFormat/>
    <w:rsid w:val="00132F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0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37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98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3</Pages>
  <Words>582</Words>
  <Characters>3321</Characters>
  <Application>Microsoft Office Word</Application>
  <DocSecurity>0</DocSecurity>
  <Lines>27</Lines>
  <Paragraphs>7</Paragraphs>
  <ScaleCrop>false</ScaleCrop>
  <Company/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elena.chiu@W10V06-110</dc:creator>
  <cp:keywords/>
  <dc:description/>
  <cp:lastModifiedBy>elena.chiu@W10V06-110</cp:lastModifiedBy>
  <cp:revision>23</cp:revision>
  <cp:lastPrinted>2024-12-23T06:31:00Z</cp:lastPrinted>
  <dcterms:created xsi:type="dcterms:W3CDTF">2024-12-30T09:01:00Z</dcterms:created>
  <dcterms:modified xsi:type="dcterms:W3CDTF">2025-04-11T07:42:00Z</dcterms:modified>
</cp:coreProperties>
</file>