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FDE" w:rsidRPr="00DF2FDE" w:rsidRDefault="00DF2FDE" w:rsidP="00DF2FDE">
      <w:pPr>
        <w:pStyle w:val="a3"/>
        <w:widowControl/>
        <w:numPr>
          <w:ilvl w:val="0"/>
          <w:numId w:val="17"/>
        </w:numPr>
        <w:spacing w:before="100" w:beforeAutospacing="1" w:after="100" w:afterAutospacing="1"/>
        <w:ind w:leftChars="0"/>
        <w:outlineLvl w:val="2"/>
        <w:rPr>
          <w:rFonts w:ascii="新細明體" w:eastAsia="新細明體" w:hAnsi="新細明體" w:cs="新細明體"/>
          <w:b/>
          <w:bCs/>
          <w:kern w:val="0"/>
          <w:sz w:val="27"/>
          <w:szCs w:val="27"/>
        </w:rPr>
      </w:pPr>
      <w:r w:rsidRPr="00DF2FDE">
        <w:rPr>
          <w:rFonts w:ascii="新細明體" w:eastAsia="新細明體" w:hAnsi="新細明體" w:cs="新細明體"/>
          <w:b/>
          <w:bCs/>
          <w:kern w:val="0"/>
          <w:sz w:val="27"/>
          <w:szCs w:val="27"/>
        </w:rPr>
        <w:t>Supply Chain and Environment</w:t>
      </w:r>
    </w:p>
    <w:p w:rsidR="00DF2FDE" w:rsidRDefault="00DF2FDE" w:rsidP="00DF2FDE">
      <w:pPr>
        <w:widowControl/>
        <w:spacing w:before="100" w:beforeAutospacing="1" w:after="100" w:afterAutospacing="1"/>
        <w:rPr>
          <w:rFonts w:ascii="新細明體" w:eastAsia="新細明體" w:hAnsi="新細明體" w:cs="新細明體"/>
          <w:kern w:val="0"/>
          <w:szCs w:val="24"/>
        </w:rPr>
      </w:pPr>
      <w:r w:rsidRPr="00DF2FDE">
        <w:rPr>
          <w:rFonts w:ascii="新細明體" w:eastAsia="新細明體" w:hAnsi="新細明體" w:cs="新細明體"/>
          <w:kern w:val="0"/>
          <w:szCs w:val="24"/>
        </w:rPr>
        <w:t xml:space="preserve">In response to global trends in human rights protection, customers insist on avoiding the use of minerals sourced from conflict-affected areas in their products. To address this, GUC actively manages due diligence on conflict minerals—including cobalt and mica—within its supply chain. With the periodic updates of the </w:t>
      </w:r>
      <w:r w:rsidRPr="00DF2FDE">
        <w:rPr>
          <w:rFonts w:ascii="新細明體" w:eastAsia="新細明體" w:hAnsi="新細明體" w:cs="新細明體"/>
          <w:b/>
          <w:bCs/>
          <w:kern w:val="0"/>
          <w:szCs w:val="24"/>
        </w:rPr>
        <w:t>Conflict Minerals Reporting Template (CMRT)</w:t>
      </w:r>
      <w:r w:rsidRPr="00DF2FDE">
        <w:rPr>
          <w:rFonts w:ascii="新細明體" w:eastAsia="新細明體" w:hAnsi="新細明體" w:cs="新細明體"/>
          <w:kern w:val="0"/>
          <w:szCs w:val="24"/>
        </w:rPr>
        <w:t xml:space="preserve"> and </w:t>
      </w:r>
      <w:r w:rsidRPr="00DF2FDE">
        <w:rPr>
          <w:rFonts w:ascii="新細明體" w:eastAsia="新細明體" w:hAnsi="新細明體" w:cs="新細明體"/>
          <w:b/>
          <w:bCs/>
          <w:kern w:val="0"/>
          <w:szCs w:val="24"/>
        </w:rPr>
        <w:t>Cobalt Reporting Template (CRT)</w:t>
      </w:r>
      <w:r w:rsidRPr="00DF2FDE">
        <w:rPr>
          <w:rFonts w:ascii="新細明體" w:eastAsia="新細明體" w:hAnsi="新細明體" w:cs="新細明體"/>
          <w:kern w:val="0"/>
          <w:szCs w:val="24"/>
        </w:rPr>
        <w:t xml:space="preserve">, GUC has established a comprehensive </w:t>
      </w:r>
      <w:r w:rsidRPr="00DF2FDE">
        <w:rPr>
          <w:rFonts w:ascii="新細明體" w:eastAsia="新細明體" w:hAnsi="新細明體" w:cs="新細明體"/>
          <w:b/>
          <w:bCs/>
          <w:kern w:val="0"/>
          <w:szCs w:val="24"/>
        </w:rPr>
        <w:t>CMRT &amp; EMRT management process</w:t>
      </w:r>
      <w:r w:rsidRPr="00DF2FDE">
        <w:rPr>
          <w:rFonts w:ascii="新細明體" w:eastAsia="新細明體" w:hAnsi="新細明體" w:cs="新細明體"/>
          <w:kern w:val="0"/>
          <w:szCs w:val="24"/>
        </w:rPr>
        <w:t xml:space="preserve"> and continuously monitors supplier compliance with conflict minerals due diligence.</w:t>
      </w:r>
    </w:p>
    <w:p w:rsidR="00D67C21" w:rsidRPr="00DF2FDE" w:rsidRDefault="00D67C21" w:rsidP="00DF2FDE">
      <w:pPr>
        <w:widowControl/>
        <w:spacing w:before="100" w:beforeAutospacing="1" w:after="100" w:afterAutospacing="1"/>
        <w:rPr>
          <w:rFonts w:ascii="新細明體" w:eastAsia="新細明體" w:hAnsi="新細明體" w:cs="新細明體"/>
          <w:kern w:val="0"/>
          <w:szCs w:val="24"/>
        </w:rPr>
      </w:pPr>
      <w:r>
        <w:rPr>
          <w:noProof/>
        </w:rPr>
        <w:drawing>
          <wp:inline distT="0" distB="0" distL="0" distR="0" wp14:anchorId="45E80C4B" wp14:editId="4C3A7C19">
            <wp:extent cx="6188710" cy="1832610"/>
            <wp:effectExtent l="0" t="0" r="254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88710" cy="1832610"/>
                    </a:xfrm>
                    <a:prstGeom prst="rect">
                      <a:avLst/>
                    </a:prstGeom>
                  </pic:spPr>
                </pic:pic>
              </a:graphicData>
            </a:graphic>
          </wp:inline>
        </w:drawing>
      </w:r>
    </w:p>
    <w:p w:rsidR="00DF2FDE" w:rsidRPr="00DF2FDE" w:rsidRDefault="00DF2FDE" w:rsidP="00DF2FDE">
      <w:pPr>
        <w:widowControl/>
        <w:rPr>
          <w:rFonts w:ascii="新細明體" w:eastAsia="新細明體" w:hAnsi="新細明體" w:cs="新細明體"/>
          <w:kern w:val="0"/>
          <w:szCs w:val="24"/>
        </w:rPr>
      </w:pPr>
      <w:r w:rsidRPr="00DF2FDE">
        <w:rPr>
          <w:rFonts w:ascii="新細明體" w:eastAsia="新細明體" w:hAnsi="新細明體" w:cs="新細明體"/>
          <w:kern w:val="0"/>
          <w:szCs w:val="24"/>
        </w:rPr>
        <w:pict>
          <v:rect id="_x0000_i1025" style="width:0;height:1.5pt" o:hralign="center" o:hrstd="t" o:hr="t" fillcolor="#a0a0a0" stroked="f"/>
        </w:pict>
      </w:r>
    </w:p>
    <w:p w:rsidR="00DF2FDE" w:rsidRPr="00DF2FDE" w:rsidRDefault="00DF2FDE" w:rsidP="00DF2FDE">
      <w:pPr>
        <w:pStyle w:val="a3"/>
        <w:widowControl/>
        <w:numPr>
          <w:ilvl w:val="0"/>
          <w:numId w:val="17"/>
        </w:numPr>
        <w:spacing w:before="100" w:beforeAutospacing="1" w:after="100" w:afterAutospacing="1"/>
        <w:ind w:leftChars="0"/>
        <w:outlineLvl w:val="2"/>
        <w:rPr>
          <w:rFonts w:ascii="新細明體" w:eastAsia="新細明體" w:hAnsi="新細明體" w:cs="新細明體"/>
          <w:b/>
          <w:bCs/>
          <w:kern w:val="0"/>
          <w:sz w:val="27"/>
          <w:szCs w:val="27"/>
        </w:rPr>
      </w:pPr>
      <w:r w:rsidRPr="00DF2FDE">
        <w:rPr>
          <w:rFonts w:ascii="新細明體" w:eastAsia="新細明體" w:hAnsi="新細明體" w:cs="新細明體"/>
          <w:b/>
          <w:bCs/>
          <w:kern w:val="0"/>
          <w:sz w:val="27"/>
          <w:szCs w:val="27"/>
        </w:rPr>
        <w:t>Five Key Supply Chain Management Strategies</w:t>
      </w:r>
    </w:p>
    <w:p w:rsidR="00DF2FDE" w:rsidRDefault="00DF2FDE" w:rsidP="00DF2FDE">
      <w:pPr>
        <w:widowControl/>
        <w:spacing w:before="100" w:beforeAutospacing="1" w:after="100" w:afterAutospacing="1"/>
        <w:rPr>
          <w:rFonts w:ascii="新細明體" w:eastAsia="新細明體" w:hAnsi="新細明體" w:cs="新細明體"/>
          <w:kern w:val="0"/>
          <w:szCs w:val="24"/>
        </w:rPr>
      </w:pPr>
      <w:r w:rsidRPr="00DF2FDE">
        <w:rPr>
          <w:rFonts w:ascii="新細明體" w:eastAsia="新細明體" w:hAnsi="新細明體" w:cs="新細明體"/>
          <w:kern w:val="0"/>
          <w:szCs w:val="24"/>
        </w:rPr>
        <w:t xml:space="preserve">GUC requires its suppliers to adhere to the </w:t>
      </w:r>
      <w:r w:rsidRPr="00DF2FDE">
        <w:rPr>
          <w:rFonts w:ascii="新細明體" w:eastAsia="新細明體" w:hAnsi="新細明體" w:cs="新細明體"/>
          <w:b/>
          <w:bCs/>
          <w:kern w:val="0"/>
          <w:szCs w:val="24"/>
        </w:rPr>
        <w:t>Supplier Code of Conduct</w:t>
      </w:r>
      <w:r w:rsidRPr="00DF2FDE">
        <w:rPr>
          <w:rFonts w:ascii="新細明體" w:eastAsia="新細明體" w:hAnsi="新細明體" w:cs="新細明體"/>
          <w:kern w:val="0"/>
          <w:szCs w:val="24"/>
        </w:rPr>
        <w:t xml:space="preserve"> established by the company. Through collaboration based on GUC’s five supply chain strategies, we aim to co-create valuable products and services for our customers.</w:t>
      </w:r>
    </w:p>
    <w:p w:rsidR="00D67C21" w:rsidRPr="00DF2FDE" w:rsidRDefault="00D67C21" w:rsidP="00DF2FDE">
      <w:pPr>
        <w:widowControl/>
        <w:spacing w:before="100" w:beforeAutospacing="1" w:after="100" w:afterAutospacing="1"/>
        <w:rPr>
          <w:rFonts w:ascii="新細明體" w:eastAsia="新細明體" w:hAnsi="新細明體" w:cs="新細明體"/>
          <w:kern w:val="0"/>
          <w:szCs w:val="24"/>
        </w:rPr>
      </w:pPr>
      <w:r>
        <w:rPr>
          <w:noProof/>
        </w:rPr>
        <w:drawing>
          <wp:inline distT="0" distB="0" distL="0" distR="0" wp14:anchorId="16BE05B8" wp14:editId="12EE2ABB">
            <wp:extent cx="6188710" cy="1760220"/>
            <wp:effectExtent l="0" t="0" r="254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1760220"/>
                    </a:xfrm>
                    <a:prstGeom prst="rect">
                      <a:avLst/>
                    </a:prstGeom>
                  </pic:spPr>
                </pic:pic>
              </a:graphicData>
            </a:graphic>
          </wp:inline>
        </w:drawing>
      </w:r>
    </w:p>
    <w:p w:rsidR="00DF2FDE" w:rsidRPr="00DF2FDE" w:rsidRDefault="00DF2FDE" w:rsidP="00DF2FDE">
      <w:pPr>
        <w:widowControl/>
        <w:rPr>
          <w:rFonts w:ascii="新細明體" w:eastAsia="新細明體" w:hAnsi="新細明體" w:cs="新細明體"/>
          <w:kern w:val="0"/>
          <w:szCs w:val="24"/>
        </w:rPr>
      </w:pPr>
      <w:r w:rsidRPr="00DF2FDE">
        <w:rPr>
          <w:rFonts w:ascii="新細明體" w:eastAsia="新細明體" w:hAnsi="新細明體" w:cs="新細明體"/>
          <w:kern w:val="0"/>
          <w:szCs w:val="24"/>
        </w:rPr>
        <w:pict>
          <v:rect id="_x0000_i1026" style="width:0;height:1.5pt" o:hralign="center" o:hrstd="t" o:hr="t" fillcolor="#a0a0a0" stroked="f"/>
        </w:pict>
      </w:r>
    </w:p>
    <w:p w:rsidR="00DF2FDE" w:rsidRPr="00DF2FDE" w:rsidRDefault="00DF2FDE" w:rsidP="00DF2FDE">
      <w:pPr>
        <w:pStyle w:val="a3"/>
        <w:widowControl/>
        <w:numPr>
          <w:ilvl w:val="0"/>
          <w:numId w:val="17"/>
        </w:numPr>
        <w:spacing w:before="100" w:beforeAutospacing="1" w:after="100" w:afterAutospacing="1"/>
        <w:ind w:leftChars="0"/>
        <w:outlineLvl w:val="2"/>
        <w:rPr>
          <w:rFonts w:ascii="新細明體" w:eastAsia="新細明體" w:hAnsi="新細明體" w:cs="新細明體"/>
          <w:b/>
          <w:bCs/>
          <w:kern w:val="0"/>
          <w:sz w:val="27"/>
          <w:szCs w:val="27"/>
        </w:rPr>
      </w:pPr>
      <w:r w:rsidRPr="00DF2FDE">
        <w:rPr>
          <w:rFonts w:ascii="新細明體" w:eastAsia="新細明體" w:hAnsi="新細明體" w:cs="新細明體"/>
          <w:b/>
          <w:bCs/>
          <w:kern w:val="0"/>
          <w:sz w:val="27"/>
          <w:szCs w:val="27"/>
        </w:rPr>
        <w:t>Supplier Evaluation and Adherence to International Responsibility Standards</w:t>
      </w:r>
    </w:p>
    <w:p w:rsidR="00DF2FDE" w:rsidRPr="00DF2FDE" w:rsidRDefault="00DF2FDE" w:rsidP="00DF2FDE">
      <w:pPr>
        <w:widowControl/>
        <w:spacing w:before="100" w:beforeAutospacing="1" w:after="100" w:afterAutospacing="1"/>
        <w:rPr>
          <w:rFonts w:ascii="新細明體" w:eastAsia="新細明體" w:hAnsi="新細明體" w:cs="新細明體"/>
          <w:kern w:val="0"/>
          <w:szCs w:val="24"/>
        </w:rPr>
      </w:pPr>
      <w:r w:rsidRPr="00DF2FDE">
        <w:rPr>
          <w:rFonts w:ascii="新細明體" w:eastAsia="新細明體" w:hAnsi="新細明體" w:cs="新細明體"/>
          <w:kern w:val="0"/>
          <w:szCs w:val="24"/>
        </w:rPr>
        <w:lastRenderedPageBreak/>
        <w:t xml:space="preserve">To promote sustainable practices among suppliers, GUC has formulated the </w:t>
      </w:r>
      <w:r w:rsidRPr="00DF2FDE">
        <w:rPr>
          <w:rFonts w:ascii="新細明體" w:eastAsia="新細明體" w:hAnsi="新細明體" w:cs="新細明體"/>
          <w:b/>
          <w:bCs/>
          <w:kern w:val="0"/>
          <w:szCs w:val="24"/>
        </w:rPr>
        <w:t>GUC Supplier Code of Conduct</w:t>
      </w:r>
      <w:r w:rsidRPr="00DF2FDE">
        <w:rPr>
          <w:rFonts w:ascii="新細明體" w:eastAsia="新細明體" w:hAnsi="新細明體" w:cs="新細明體"/>
          <w:kern w:val="0"/>
          <w:szCs w:val="24"/>
        </w:rPr>
        <w:t xml:space="preserve"> and conducted training and requirement sessions for first-tier key suppliers, achieving a </w:t>
      </w:r>
      <w:r w:rsidRPr="00DF2FDE">
        <w:rPr>
          <w:rFonts w:ascii="新細明體" w:eastAsia="新細明體" w:hAnsi="新細明體" w:cs="新細明體"/>
          <w:b/>
          <w:bCs/>
          <w:kern w:val="0"/>
          <w:szCs w:val="24"/>
        </w:rPr>
        <w:t>100% completion rate in both assessments and signed commitments</w:t>
      </w:r>
      <w:r w:rsidRPr="00DF2FDE">
        <w:rPr>
          <w:rFonts w:ascii="新細明體" w:eastAsia="新細明體" w:hAnsi="新細明體" w:cs="新細明體"/>
          <w:kern w:val="0"/>
          <w:szCs w:val="24"/>
        </w:rPr>
        <w:t>.</w:t>
      </w:r>
    </w:p>
    <w:p w:rsidR="00DF2FDE" w:rsidRPr="00DF2FDE" w:rsidRDefault="00DF2FDE" w:rsidP="00DF2FDE">
      <w:pPr>
        <w:widowControl/>
        <w:spacing w:before="100" w:beforeAutospacing="1" w:after="100" w:afterAutospacing="1"/>
        <w:rPr>
          <w:rFonts w:ascii="新細明體" w:eastAsia="新細明體" w:hAnsi="新細明體" w:cs="新細明體"/>
          <w:kern w:val="0"/>
          <w:szCs w:val="24"/>
        </w:rPr>
      </w:pPr>
      <w:r w:rsidRPr="00DF2FDE">
        <w:rPr>
          <w:rFonts w:ascii="新細明體" w:eastAsia="新細明體" w:hAnsi="新細明體" w:cs="新細明體"/>
          <w:kern w:val="0"/>
          <w:szCs w:val="24"/>
        </w:rPr>
        <w:t xml:space="preserve">This commitment includes compliance with the </w:t>
      </w:r>
      <w:r w:rsidRPr="00DF2FDE">
        <w:rPr>
          <w:rFonts w:ascii="新細明體" w:eastAsia="新細明體" w:hAnsi="新細明體" w:cs="新細明體"/>
          <w:b/>
          <w:bCs/>
          <w:kern w:val="0"/>
          <w:szCs w:val="24"/>
        </w:rPr>
        <w:t>Responsible Business Alliance (RBA) 8.0 Code of Conduct</w:t>
      </w:r>
      <w:r w:rsidRPr="00DF2FDE">
        <w:rPr>
          <w:rFonts w:ascii="新細明體" w:eastAsia="新細明體" w:hAnsi="新細明體" w:cs="新細明體"/>
          <w:kern w:val="0"/>
          <w:szCs w:val="24"/>
        </w:rPr>
        <w:t>, covering five major areas:</w:t>
      </w:r>
    </w:p>
    <w:p w:rsidR="00DF2FDE" w:rsidRPr="00DF2FDE" w:rsidRDefault="00DF2FDE" w:rsidP="00DF2FDE">
      <w:pPr>
        <w:widowControl/>
        <w:numPr>
          <w:ilvl w:val="0"/>
          <w:numId w:val="15"/>
        </w:numPr>
        <w:spacing w:before="100" w:beforeAutospacing="1" w:after="100" w:afterAutospacing="1"/>
        <w:rPr>
          <w:rFonts w:ascii="新細明體" w:eastAsia="新細明體" w:hAnsi="新細明體" w:cs="新細明體"/>
          <w:kern w:val="0"/>
          <w:szCs w:val="24"/>
        </w:rPr>
      </w:pPr>
      <w:r w:rsidRPr="00DF2FDE">
        <w:rPr>
          <w:rFonts w:ascii="新細明體" w:eastAsia="新細明體" w:hAnsi="新細明體" w:cs="新細明體"/>
          <w:kern w:val="0"/>
          <w:szCs w:val="24"/>
        </w:rPr>
        <w:t>Labor and human rights</w:t>
      </w:r>
    </w:p>
    <w:p w:rsidR="00DF2FDE" w:rsidRPr="00DF2FDE" w:rsidRDefault="00DF2FDE" w:rsidP="00DF2FDE">
      <w:pPr>
        <w:widowControl/>
        <w:numPr>
          <w:ilvl w:val="0"/>
          <w:numId w:val="15"/>
        </w:numPr>
        <w:spacing w:before="100" w:beforeAutospacing="1" w:after="100" w:afterAutospacing="1"/>
        <w:rPr>
          <w:rFonts w:ascii="新細明體" w:eastAsia="新細明體" w:hAnsi="新細明體" w:cs="新細明體"/>
          <w:kern w:val="0"/>
          <w:szCs w:val="24"/>
        </w:rPr>
      </w:pPr>
      <w:r w:rsidRPr="00DF2FDE">
        <w:rPr>
          <w:rFonts w:ascii="新細明體" w:eastAsia="新細明體" w:hAnsi="新細明體" w:cs="新細明體"/>
          <w:kern w:val="0"/>
          <w:szCs w:val="24"/>
        </w:rPr>
        <w:t>Health and safety</w:t>
      </w:r>
    </w:p>
    <w:p w:rsidR="00DF2FDE" w:rsidRPr="00DF2FDE" w:rsidRDefault="00DF2FDE" w:rsidP="00DF2FDE">
      <w:pPr>
        <w:widowControl/>
        <w:numPr>
          <w:ilvl w:val="0"/>
          <w:numId w:val="15"/>
        </w:numPr>
        <w:spacing w:before="100" w:beforeAutospacing="1" w:after="100" w:afterAutospacing="1"/>
        <w:rPr>
          <w:rFonts w:ascii="新細明體" w:eastAsia="新細明體" w:hAnsi="新細明體" w:cs="新細明體"/>
          <w:kern w:val="0"/>
          <w:szCs w:val="24"/>
        </w:rPr>
      </w:pPr>
      <w:r w:rsidRPr="00DF2FDE">
        <w:rPr>
          <w:rFonts w:ascii="新細明體" w:eastAsia="新細明體" w:hAnsi="新細明體" w:cs="新細明體"/>
          <w:kern w:val="0"/>
          <w:szCs w:val="24"/>
        </w:rPr>
        <w:t>Environmental protection</w:t>
      </w:r>
    </w:p>
    <w:p w:rsidR="00DF2FDE" w:rsidRPr="00DF2FDE" w:rsidRDefault="00DF2FDE" w:rsidP="00DF2FDE">
      <w:pPr>
        <w:widowControl/>
        <w:numPr>
          <w:ilvl w:val="0"/>
          <w:numId w:val="15"/>
        </w:numPr>
        <w:spacing w:before="100" w:beforeAutospacing="1" w:after="100" w:afterAutospacing="1"/>
        <w:rPr>
          <w:rFonts w:ascii="新細明體" w:eastAsia="新細明體" w:hAnsi="新細明體" w:cs="新細明體"/>
          <w:kern w:val="0"/>
          <w:szCs w:val="24"/>
        </w:rPr>
      </w:pPr>
      <w:r w:rsidRPr="00DF2FDE">
        <w:rPr>
          <w:rFonts w:ascii="新細明體" w:eastAsia="新細明體" w:hAnsi="新細明體" w:cs="新細明體"/>
          <w:kern w:val="0"/>
          <w:szCs w:val="24"/>
        </w:rPr>
        <w:t>Business ethics</w:t>
      </w:r>
    </w:p>
    <w:p w:rsidR="00DF2FDE" w:rsidRPr="00DF2FDE" w:rsidRDefault="00DF2FDE" w:rsidP="00DF2FDE">
      <w:pPr>
        <w:widowControl/>
        <w:numPr>
          <w:ilvl w:val="0"/>
          <w:numId w:val="15"/>
        </w:numPr>
        <w:spacing w:before="100" w:beforeAutospacing="1" w:after="100" w:afterAutospacing="1"/>
        <w:rPr>
          <w:rFonts w:ascii="新細明體" w:eastAsia="新細明體" w:hAnsi="新細明體" w:cs="新細明體"/>
          <w:kern w:val="0"/>
          <w:szCs w:val="24"/>
        </w:rPr>
      </w:pPr>
      <w:r w:rsidRPr="00DF2FDE">
        <w:rPr>
          <w:rFonts w:ascii="新細明體" w:eastAsia="新細明體" w:hAnsi="新細明體" w:cs="新細明體"/>
          <w:kern w:val="0"/>
          <w:szCs w:val="24"/>
        </w:rPr>
        <w:t>Management systems</w:t>
      </w:r>
    </w:p>
    <w:p w:rsidR="00D67C21" w:rsidRPr="00D67C21" w:rsidRDefault="00DF2FDE" w:rsidP="00DF2FDE">
      <w:pPr>
        <w:widowControl/>
        <w:spacing w:before="100" w:beforeAutospacing="1" w:after="100" w:afterAutospacing="1"/>
        <w:rPr>
          <w:rFonts w:ascii="新細明體" w:eastAsia="新細明體" w:hAnsi="新細明體" w:cs="新細明體" w:hint="eastAsia"/>
          <w:kern w:val="0"/>
          <w:szCs w:val="24"/>
        </w:rPr>
      </w:pPr>
      <w:r w:rsidRPr="00DF2FDE">
        <w:rPr>
          <w:rFonts w:ascii="新細明體" w:eastAsia="新細明體" w:hAnsi="新細明體" w:cs="新細明體"/>
          <w:kern w:val="0"/>
          <w:szCs w:val="24"/>
        </w:rPr>
        <w:t>The Code includes 42 specific criteria aligned with globally recognized social responsibility standards. Suppliers are required to fully commit to these standards and the principles of corporate social responsibility.</w:t>
      </w:r>
    </w:p>
    <w:p w:rsidR="00D67C21" w:rsidRPr="00DF2FDE" w:rsidRDefault="00D67C21" w:rsidP="00DF2FDE">
      <w:pPr>
        <w:widowControl/>
        <w:spacing w:before="100" w:beforeAutospacing="1" w:after="100" w:afterAutospacing="1"/>
        <w:rPr>
          <w:rFonts w:ascii="新細明體" w:eastAsia="新細明體" w:hAnsi="新細明體" w:cs="新細明體" w:hint="eastAsia"/>
          <w:kern w:val="0"/>
          <w:szCs w:val="24"/>
        </w:rPr>
      </w:pPr>
      <w:r>
        <w:rPr>
          <w:noProof/>
        </w:rPr>
        <w:drawing>
          <wp:inline distT="0" distB="0" distL="0" distR="0" wp14:anchorId="4DA18CF4" wp14:editId="2A470909">
            <wp:extent cx="6188710" cy="2610485"/>
            <wp:effectExtent l="0" t="0" r="254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2610485"/>
                    </a:xfrm>
                    <a:prstGeom prst="rect">
                      <a:avLst/>
                    </a:prstGeom>
                  </pic:spPr>
                </pic:pic>
              </a:graphicData>
            </a:graphic>
          </wp:inline>
        </w:drawing>
      </w:r>
    </w:p>
    <w:p w:rsidR="00DF2FDE" w:rsidRPr="00DF2FDE" w:rsidRDefault="00DF2FDE" w:rsidP="00DF2FDE">
      <w:pPr>
        <w:widowControl/>
        <w:rPr>
          <w:rFonts w:ascii="新細明體" w:eastAsia="新細明體" w:hAnsi="新細明體" w:cs="新細明體"/>
          <w:kern w:val="0"/>
          <w:szCs w:val="24"/>
        </w:rPr>
      </w:pPr>
      <w:r w:rsidRPr="00DF2FDE">
        <w:rPr>
          <w:rFonts w:ascii="新細明體" w:eastAsia="新細明體" w:hAnsi="新細明體" w:cs="新細明體"/>
          <w:kern w:val="0"/>
          <w:szCs w:val="24"/>
        </w:rPr>
        <w:pict>
          <v:rect id="_x0000_i1027" style="width:0;height:1.5pt" o:hralign="center" o:hrstd="t" o:hr="t" fillcolor="#a0a0a0" stroked="f"/>
        </w:pict>
      </w:r>
    </w:p>
    <w:p w:rsidR="00DF2FDE" w:rsidRPr="00DF2FDE" w:rsidRDefault="00DF2FDE" w:rsidP="00DF2FDE">
      <w:pPr>
        <w:pStyle w:val="a3"/>
        <w:widowControl/>
        <w:numPr>
          <w:ilvl w:val="0"/>
          <w:numId w:val="17"/>
        </w:numPr>
        <w:spacing w:before="100" w:beforeAutospacing="1" w:after="100" w:afterAutospacing="1"/>
        <w:ind w:leftChars="0"/>
        <w:outlineLvl w:val="2"/>
        <w:rPr>
          <w:rFonts w:ascii="新細明體" w:eastAsia="新細明體" w:hAnsi="新細明體" w:cs="新細明體"/>
          <w:b/>
          <w:bCs/>
          <w:kern w:val="0"/>
          <w:sz w:val="27"/>
          <w:szCs w:val="27"/>
        </w:rPr>
      </w:pPr>
      <w:r w:rsidRPr="00DF2FDE">
        <w:rPr>
          <w:rFonts w:ascii="新細明體" w:eastAsia="新細明體" w:hAnsi="新細明體" w:cs="新細明體"/>
          <w:b/>
          <w:bCs/>
          <w:kern w:val="0"/>
          <w:sz w:val="27"/>
          <w:szCs w:val="27"/>
        </w:rPr>
        <w:t>Supplier Identification / Risk Survey and Assessment</w:t>
      </w:r>
    </w:p>
    <w:p w:rsidR="00DF2FDE" w:rsidRPr="00DF2FDE" w:rsidRDefault="00DF2FDE" w:rsidP="00DF2FDE">
      <w:pPr>
        <w:widowControl/>
        <w:spacing w:before="100" w:beforeAutospacing="1" w:after="100" w:afterAutospacing="1"/>
        <w:rPr>
          <w:rFonts w:ascii="新細明體" w:eastAsia="新細明體" w:hAnsi="新細明體" w:cs="新細明體"/>
          <w:kern w:val="0"/>
          <w:szCs w:val="24"/>
        </w:rPr>
      </w:pPr>
      <w:r w:rsidRPr="00DF2FDE">
        <w:rPr>
          <w:rFonts w:ascii="新細明體" w:eastAsia="新細明體" w:hAnsi="新細明體" w:cs="新細明體"/>
          <w:kern w:val="0"/>
          <w:szCs w:val="24"/>
        </w:rPr>
        <w:t xml:space="preserve">As part of GUC’s sustainable supply chain risk management efforts, we conduct a </w:t>
      </w:r>
      <w:r w:rsidRPr="00DF2FDE">
        <w:rPr>
          <w:rFonts w:ascii="新細明體" w:eastAsia="新細明體" w:hAnsi="新細明體" w:cs="新細明體"/>
          <w:b/>
          <w:bCs/>
          <w:kern w:val="0"/>
          <w:szCs w:val="24"/>
        </w:rPr>
        <w:t>Supply Chain Monitoring and Responsibility Risk Assessment Survey</w:t>
      </w:r>
      <w:r w:rsidRPr="00DF2FDE">
        <w:rPr>
          <w:rFonts w:ascii="新細明體" w:eastAsia="新細明體" w:hAnsi="新細明體" w:cs="新細明體"/>
          <w:kern w:val="0"/>
          <w:szCs w:val="24"/>
        </w:rPr>
        <w:t xml:space="preserve">. Based on ESG trends and corporate sustainability priorities, 12 core themes were identified and included in the </w:t>
      </w:r>
      <w:r w:rsidRPr="00DF2FDE">
        <w:rPr>
          <w:rFonts w:ascii="新細明體" w:eastAsia="新細明體" w:hAnsi="新細明體" w:cs="新細明體"/>
          <w:b/>
          <w:bCs/>
          <w:kern w:val="0"/>
          <w:szCs w:val="24"/>
        </w:rPr>
        <w:t>Supplier ESG Sustainability Management &amp; Risk Assessment Questionnaire</w:t>
      </w:r>
      <w:r w:rsidRPr="00DF2FDE">
        <w:rPr>
          <w:rFonts w:ascii="新細明體" w:eastAsia="新細明體" w:hAnsi="新細明體" w:cs="新細明體"/>
          <w:kern w:val="0"/>
          <w:szCs w:val="24"/>
        </w:rPr>
        <w:t xml:space="preserve">, categorized into </w:t>
      </w:r>
      <w:r w:rsidRPr="00DF2FDE">
        <w:rPr>
          <w:rFonts w:ascii="新細明體" w:eastAsia="新細明體" w:hAnsi="新細明體" w:cs="新細明體"/>
          <w:b/>
          <w:bCs/>
          <w:kern w:val="0"/>
          <w:szCs w:val="24"/>
        </w:rPr>
        <w:t>three dimensions</w:t>
      </w:r>
      <w:r w:rsidRPr="00DF2FDE">
        <w:rPr>
          <w:rFonts w:ascii="新細明體" w:eastAsia="新細明體" w:hAnsi="新細明體" w:cs="新細明體"/>
          <w:kern w:val="0"/>
          <w:szCs w:val="24"/>
        </w:rPr>
        <w:t>: economic, social, and environmental.</w:t>
      </w:r>
    </w:p>
    <w:p w:rsidR="00DF2FDE" w:rsidRDefault="00DF2FDE" w:rsidP="00DF2FDE">
      <w:pPr>
        <w:widowControl/>
        <w:spacing w:before="100" w:beforeAutospacing="1" w:after="100" w:afterAutospacing="1"/>
        <w:rPr>
          <w:rFonts w:ascii="新細明體" w:eastAsia="新細明體" w:hAnsi="新細明體" w:cs="新細明體"/>
          <w:kern w:val="0"/>
          <w:szCs w:val="24"/>
        </w:rPr>
      </w:pPr>
      <w:r w:rsidRPr="00DF2FDE">
        <w:rPr>
          <w:rFonts w:ascii="新細明體" w:eastAsia="新細明體" w:hAnsi="新細明體" w:cs="新細明體"/>
          <w:kern w:val="0"/>
          <w:szCs w:val="24"/>
        </w:rPr>
        <w:lastRenderedPageBreak/>
        <w:t>Suppliers are evaluated using weighted performance scoring across the three ESG pillars. GUC enhances supply chain resilience through audits, investigations, and continuous improvement measures, fostering strong cooperation and mutual growth toward sustainability.</w:t>
      </w:r>
    </w:p>
    <w:p w:rsidR="00D67C21" w:rsidRPr="00DF2FDE" w:rsidRDefault="00D67C21" w:rsidP="00DF2FDE">
      <w:pPr>
        <w:widowControl/>
        <w:spacing w:before="100" w:beforeAutospacing="1" w:after="100" w:afterAutospacing="1"/>
        <w:rPr>
          <w:rFonts w:ascii="新細明體" w:eastAsia="新細明體" w:hAnsi="新細明體" w:cs="新細明體"/>
          <w:kern w:val="0"/>
          <w:szCs w:val="24"/>
        </w:rPr>
      </w:pPr>
      <w:r>
        <w:rPr>
          <w:noProof/>
        </w:rPr>
        <w:drawing>
          <wp:inline distT="0" distB="0" distL="0" distR="0" wp14:anchorId="58113B36" wp14:editId="68F31CB4">
            <wp:extent cx="6188710" cy="2791460"/>
            <wp:effectExtent l="0" t="0" r="2540" b="889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791460"/>
                    </a:xfrm>
                    <a:prstGeom prst="rect">
                      <a:avLst/>
                    </a:prstGeom>
                  </pic:spPr>
                </pic:pic>
              </a:graphicData>
            </a:graphic>
          </wp:inline>
        </w:drawing>
      </w:r>
    </w:p>
    <w:p w:rsidR="00DF2FDE" w:rsidRPr="00DF2FDE" w:rsidRDefault="00DF2FDE" w:rsidP="00DF2FDE">
      <w:pPr>
        <w:widowControl/>
        <w:rPr>
          <w:rFonts w:ascii="新細明體" w:eastAsia="新細明體" w:hAnsi="新細明體" w:cs="新細明體"/>
          <w:kern w:val="0"/>
          <w:szCs w:val="24"/>
        </w:rPr>
      </w:pPr>
      <w:r w:rsidRPr="00DF2FDE">
        <w:rPr>
          <w:rFonts w:ascii="新細明體" w:eastAsia="新細明體" w:hAnsi="新細明體" w:cs="新細明體"/>
          <w:kern w:val="0"/>
          <w:szCs w:val="24"/>
        </w:rPr>
        <w:pict>
          <v:rect id="_x0000_i1028" style="width:0;height:1.5pt" o:hralign="center" o:hrstd="t" o:hr="t" fillcolor="#a0a0a0" stroked="f"/>
        </w:pict>
      </w:r>
    </w:p>
    <w:p w:rsidR="00DF2FDE" w:rsidRPr="00DF2FDE" w:rsidRDefault="00DF2FDE" w:rsidP="00DF2FDE">
      <w:pPr>
        <w:pStyle w:val="a3"/>
        <w:widowControl/>
        <w:numPr>
          <w:ilvl w:val="0"/>
          <w:numId w:val="17"/>
        </w:numPr>
        <w:spacing w:before="100" w:beforeAutospacing="1" w:after="100" w:afterAutospacing="1"/>
        <w:ind w:leftChars="0"/>
        <w:outlineLvl w:val="2"/>
        <w:rPr>
          <w:rFonts w:ascii="新細明體" w:eastAsia="新細明體" w:hAnsi="新細明體" w:cs="新細明體"/>
          <w:b/>
          <w:bCs/>
          <w:kern w:val="0"/>
          <w:sz w:val="27"/>
          <w:szCs w:val="27"/>
        </w:rPr>
      </w:pPr>
      <w:r w:rsidRPr="00DF2FDE">
        <w:rPr>
          <w:rFonts w:ascii="新細明體" w:eastAsia="新細明體" w:hAnsi="新細明體" w:cs="新細明體"/>
          <w:b/>
          <w:bCs/>
          <w:kern w:val="0"/>
          <w:sz w:val="27"/>
          <w:szCs w:val="27"/>
        </w:rPr>
        <w:t>Biodiversity Commitment and Zero Deforestation Declaration in the Supply Chain</w:t>
      </w:r>
    </w:p>
    <w:p w:rsidR="00DF2FDE" w:rsidRPr="00DF2FDE" w:rsidRDefault="00DF2FDE" w:rsidP="00DF2FDE">
      <w:pPr>
        <w:widowControl/>
        <w:spacing w:before="100" w:beforeAutospacing="1" w:after="100" w:afterAutospacing="1"/>
        <w:rPr>
          <w:rFonts w:ascii="新細明體" w:eastAsia="新細明體" w:hAnsi="新細明體" w:cs="新細明體"/>
          <w:kern w:val="0"/>
          <w:szCs w:val="24"/>
        </w:rPr>
      </w:pPr>
      <w:r w:rsidRPr="00DF2FDE">
        <w:rPr>
          <w:rFonts w:ascii="新細明體" w:eastAsia="新細明體" w:hAnsi="新細明體" w:cs="新細明體"/>
          <w:kern w:val="0"/>
          <w:szCs w:val="24"/>
        </w:rPr>
        <w:t xml:space="preserve">GUC has developed a </w:t>
      </w:r>
      <w:r w:rsidRPr="00DF2FDE">
        <w:rPr>
          <w:rFonts w:ascii="新細明體" w:eastAsia="新細明體" w:hAnsi="新細明體" w:cs="新細明體"/>
          <w:b/>
          <w:bCs/>
          <w:kern w:val="0"/>
          <w:szCs w:val="24"/>
        </w:rPr>
        <w:t>Biodiversity Commitment and Zero Deforestation Declaration</w:t>
      </w:r>
      <w:r w:rsidRPr="00DF2FDE">
        <w:rPr>
          <w:rFonts w:ascii="新細明體" w:eastAsia="新細明體" w:hAnsi="新細明體" w:cs="新細明體"/>
          <w:kern w:val="0"/>
          <w:szCs w:val="24"/>
        </w:rPr>
        <w:t xml:space="preserve"> as part of its ecological responsibility efforts. This declaration sets performance indicators and targets not only for GUC but also for its first-tier key suppliers, aiming to enhance the entire value chain’s positive impact on biodiversity.</w:t>
      </w:r>
    </w:p>
    <w:p w:rsidR="00DF2FDE" w:rsidRPr="00DF2FDE" w:rsidRDefault="00DF2FDE" w:rsidP="00DF2FDE">
      <w:pPr>
        <w:widowControl/>
        <w:spacing w:before="100" w:beforeAutospacing="1" w:after="100" w:afterAutospacing="1"/>
        <w:rPr>
          <w:rFonts w:ascii="新細明體" w:eastAsia="新細明體" w:hAnsi="新細明體" w:cs="新細明體"/>
          <w:kern w:val="0"/>
          <w:szCs w:val="24"/>
        </w:rPr>
      </w:pPr>
      <w:r w:rsidRPr="00DF2FDE">
        <w:rPr>
          <w:rFonts w:ascii="新細明體" w:eastAsia="新細明體" w:hAnsi="新細明體" w:cs="新細明體"/>
          <w:kern w:val="0"/>
          <w:szCs w:val="24"/>
        </w:rPr>
        <w:t xml:space="preserve">Suppliers are encouraged to assess biodiversity risks at their operational sites and work to reduce negative environmental impacts. Key suppliers are required to comply with the following biodiversity protection commitments via the </w:t>
      </w:r>
      <w:r w:rsidRPr="00DF2FDE">
        <w:rPr>
          <w:rFonts w:ascii="新細明體" w:eastAsia="新細明體" w:hAnsi="新細明體" w:cs="新細明體"/>
          <w:b/>
          <w:bCs/>
          <w:kern w:val="0"/>
          <w:szCs w:val="24"/>
        </w:rPr>
        <w:t>Biodiversity Commitment Survey</w:t>
      </w:r>
      <w:r w:rsidRPr="00DF2FDE">
        <w:rPr>
          <w:rFonts w:ascii="新細明體" w:eastAsia="新細明體" w:hAnsi="新細明體" w:cs="新細明體"/>
          <w:kern w:val="0"/>
          <w:szCs w:val="24"/>
        </w:rPr>
        <w:t>:</w:t>
      </w:r>
    </w:p>
    <w:p w:rsidR="00DF2FDE" w:rsidRPr="00DF2FDE" w:rsidRDefault="00DF2FDE" w:rsidP="00DF2FDE">
      <w:pPr>
        <w:widowControl/>
        <w:numPr>
          <w:ilvl w:val="0"/>
          <w:numId w:val="16"/>
        </w:numPr>
        <w:spacing w:before="100" w:beforeAutospacing="1" w:after="100" w:afterAutospacing="1"/>
        <w:rPr>
          <w:rFonts w:ascii="新細明體" w:eastAsia="新細明體" w:hAnsi="新細明體" w:cs="新細明體"/>
          <w:kern w:val="0"/>
          <w:szCs w:val="24"/>
        </w:rPr>
      </w:pPr>
      <w:r w:rsidRPr="00DF2FDE">
        <w:rPr>
          <w:rFonts w:ascii="新細明體" w:eastAsia="新細明體" w:hAnsi="新細明體" w:cs="新細明體"/>
          <w:kern w:val="0"/>
          <w:szCs w:val="24"/>
        </w:rPr>
        <w:t>Commit to avoiding operations in or near areas of critical biodiversity significance.</w:t>
      </w:r>
    </w:p>
    <w:p w:rsidR="00DF2FDE" w:rsidRPr="00DF2FDE" w:rsidRDefault="00DF2FDE" w:rsidP="00DF2FDE">
      <w:pPr>
        <w:widowControl/>
        <w:numPr>
          <w:ilvl w:val="0"/>
          <w:numId w:val="16"/>
        </w:numPr>
        <w:spacing w:before="100" w:beforeAutospacing="1" w:after="100" w:afterAutospacing="1"/>
        <w:rPr>
          <w:rFonts w:ascii="新細明體" w:eastAsia="新細明體" w:hAnsi="新細明體" w:cs="新細明體"/>
          <w:kern w:val="0"/>
          <w:szCs w:val="24"/>
        </w:rPr>
      </w:pPr>
      <w:r w:rsidRPr="00DF2FDE">
        <w:rPr>
          <w:rFonts w:ascii="新細明體" w:eastAsia="新細明體" w:hAnsi="新細明體" w:cs="新細明體"/>
          <w:kern w:val="0"/>
          <w:szCs w:val="24"/>
        </w:rPr>
        <w:t>If deforestation is identified in current operations or provided services, commit to compensation through reforestation and cease any future development.</w:t>
      </w:r>
    </w:p>
    <w:p w:rsidR="00DF2FDE" w:rsidRPr="00DF2FDE" w:rsidRDefault="00DF2FDE" w:rsidP="00DF2FDE">
      <w:pPr>
        <w:widowControl/>
        <w:numPr>
          <w:ilvl w:val="0"/>
          <w:numId w:val="16"/>
        </w:numPr>
        <w:spacing w:before="100" w:beforeAutospacing="1" w:after="100" w:afterAutospacing="1"/>
        <w:rPr>
          <w:rFonts w:ascii="新細明體" w:eastAsia="新細明體" w:hAnsi="新細明體" w:cs="新細明體"/>
          <w:kern w:val="0"/>
          <w:szCs w:val="24"/>
        </w:rPr>
      </w:pPr>
      <w:r w:rsidRPr="00DF2FDE">
        <w:rPr>
          <w:rFonts w:ascii="新細明體" w:eastAsia="新細明體" w:hAnsi="新細明體" w:cs="新細明體"/>
          <w:kern w:val="0"/>
          <w:szCs w:val="24"/>
        </w:rPr>
        <w:t>Ensure all operations and services align with zero-deforestation standards and are monitored through internal environmental management systems for regulatory compliance.</w:t>
      </w:r>
    </w:p>
    <w:p w:rsidR="00DF2FDE" w:rsidRPr="00DF2FDE" w:rsidRDefault="00DF2FDE" w:rsidP="00DF2FDE">
      <w:pPr>
        <w:widowControl/>
        <w:numPr>
          <w:ilvl w:val="0"/>
          <w:numId w:val="16"/>
        </w:numPr>
        <w:spacing w:before="100" w:beforeAutospacing="1" w:after="100" w:afterAutospacing="1"/>
        <w:rPr>
          <w:rFonts w:ascii="新細明體" w:eastAsia="新細明體" w:hAnsi="新細明體" w:cs="新細明體"/>
          <w:kern w:val="0"/>
          <w:szCs w:val="24"/>
        </w:rPr>
      </w:pPr>
      <w:r w:rsidRPr="00DF2FDE">
        <w:rPr>
          <w:rFonts w:ascii="新細明體" w:eastAsia="新細明體" w:hAnsi="新細明體" w:cs="新細明體"/>
          <w:kern w:val="0"/>
          <w:szCs w:val="24"/>
        </w:rPr>
        <w:t>If operations are near identified biodiversity areas, commit to mitigation strategies (including avoidance, impact minimization, restoration, or compensation).</w:t>
      </w:r>
    </w:p>
    <w:p w:rsidR="00DF2FDE" w:rsidRPr="00DF2FDE" w:rsidRDefault="00DF2FDE" w:rsidP="00DF2FDE">
      <w:pPr>
        <w:widowControl/>
        <w:numPr>
          <w:ilvl w:val="0"/>
          <w:numId w:val="16"/>
        </w:numPr>
        <w:spacing w:before="100" w:beforeAutospacing="1" w:after="100" w:afterAutospacing="1"/>
        <w:rPr>
          <w:rFonts w:ascii="新細明體" w:eastAsia="新細明體" w:hAnsi="新細明體" w:cs="新細明體"/>
          <w:kern w:val="0"/>
          <w:szCs w:val="24"/>
        </w:rPr>
      </w:pPr>
      <w:r w:rsidRPr="00DF2FDE">
        <w:rPr>
          <w:rFonts w:ascii="新細明體" w:eastAsia="新細明體" w:hAnsi="新細明體" w:cs="新細明體"/>
          <w:kern w:val="0"/>
          <w:szCs w:val="24"/>
        </w:rPr>
        <w:t>Conduct regular ecological surveys and impact assessments surrounding operational sites.</w:t>
      </w:r>
    </w:p>
    <w:p w:rsidR="003830E6" w:rsidRPr="00D67C21" w:rsidRDefault="00DF2FDE" w:rsidP="00D67C21">
      <w:pPr>
        <w:widowControl/>
        <w:numPr>
          <w:ilvl w:val="0"/>
          <w:numId w:val="16"/>
        </w:numPr>
        <w:spacing w:before="100" w:beforeAutospacing="1" w:after="100" w:afterAutospacing="1"/>
        <w:rPr>
          <w:rFonts w:ascii="新細明體" w:eastAsia="新細明體" w:hAnsi="新細明體" w:cs="新細明體" w:hint="eastAsia"/>
          <w:kern w:val="0"/>
          <w:szCs w:val="24"/>
        </w:rPr>
      </w:pPr>
      <w:r w:rsidRPr="00DF2FDE">
        <w:rPr>
          <w:rFonts w:ascii="新細明體" w:eastAsia="新細明體" w:hAnsi="新細明體" w:cs="新細明體"/>
          <w:kern w:val="0"/>
          <w:szCs w:val="24"/>
        </w:rPr>
        <w:t>Collaborate with external partners to fulfill this biodiversity commitment.</w:t>
      </w:r>
      <w:bookmarkStart w:id="0" w:name="_GoBack"/>
      <w:bookmarkEnd w:id="0"/>
    </w:p>
    <w:sectPr w:rsidR="003830E6" w:rsidRPr="00D67C21" w:rsidSect="00684E0B">
      <w:head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E0B" w:rsidRDefault="00684E0B" w:rsidP="00684E0B">
      <w:r>
        <w:separator/>
      </w:r>
    </w:p>
  </w:endnote>
  <w:endnote w:type="continuationSeparator" w:id="0">
    <w:p w:rsidR="00684E0B" w:rsidRDefault="00684E0B" w:rsidP="0068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E0B" w:rsidRDefault="00684E0B" w:rsidP="00684E0B">
      <w:r>
        <w:separator/>
      </w:r>
    </w:p>
  </w:footnote>
  <w:footnote w:type="continuationSeparator" w:id="0">
    <w:p w:rsidR="00684E0B" w:rsidRDefault="00684E0B" w:rsidP="00684E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0B" w:rsidRDefault="00684E0B">
    <w:pPr>
      <w:pStyle w:val="a4"/>
    </w:pPr>
    <w:r>
      <w:rPr>
        <w:noProof/>
      </w:rPr>
      <w:drawing>
        <wp:anchor distT="0" distB="0" distL="114300" distR="114300" simplePos="0" relativeHeight="251658240" behindDoc="0" locked="0" layoutInCell="1" allowOverlap="1">
          <wp:simplePos x="0" y="0"/>
          <wp:positionH relativeFrom="column">
            <wp:posOffset>5218430</wp:posOffset>
          </wp:positionH>
          <wp:positionV relativeFrom="paragraph">
            <wp:posOffset>-320040</wp:posOffset>
          </wp:positionV>
          <wp:extent cx="1395095" cy="546100"/>
          <wp:effectExtent l="0" t="0" r="0" b="635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54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CA"/>
    <w:multiLevelType w:val="hybridMultilevel"/>
    <w:tmpl w:val="7BF85C72"/>
    <w:lvl w:ilvl="0" w:tplc="7696C07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33068B9"/>
    <w:multiLevelType w:val="hybridMultilevel"/>
    <w:tmpl w:val="9E70AB5C"/>
    <w:lvl w:ilvl="0" w:tplc="801068DA">
      <w:start w:val="1"/>
      <w:numFmt w:val="bullet"/>
      <w:lvlText w:val=""/>
      <w:lvlJc w:val="left"/>
      <w:pPr>
        <w:ind w:left="480" w:hanging="480"/>
      </w:pPr>
      <w:rPr>
        <w:rFonts w:ascii="Wingdings" w:hAnsi="Wingdings"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1A105E8"/>
    <w:multiLevelType w:val="hybridMultilevel"/>
    <w:tmpl w:val="8488C39A"/>
    <w:lvl w:ilvl="0" w:tplc="74FC838A">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FD27272"/>
    <w:multiLevelType w:val="hybridMultilevel"/>
    <w:tmpl w:val="919A697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D96672"/>
    <w:multiLevelType w:val="hybridMultilevel"/>
    <w:tmpl w:val="C5420C2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1F94BD7"/>
    <w:multiLevelType w:val="hybridMultilevel"/>
    <w:tmpl w:val="5EC6490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5AE172C"/>
    <w:multiLevelType w:val="hybridMultilevel"/>
    <w:tmpl w:val="54AEE7C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6BC7B03"/>
    <w:multiLevelType w:val="multilevel"/>
    <w:tmpl w:val="C714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6C1D76"/>
    <w:multiLevelType w:val="hybridMultilevel"/>
    <w:tmpl w:val="60DC34A0"/>
    <w:lvl w:ilvl="0" w:tplc="448E7568">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440430B"/>
    <w:multiLevelType w:val="multilevel"/>
    <w:tmpl w:val="69FC7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D93105"/>
    <w:multiLevelType w:val="hybridMultilevel"/>
    <w:tmpl w:val="B9102C4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6897349"/>
    <w:multiLevelType w:val="hybridMultilevel"/>
    <w:tmpl w:val="BD7CEDEE"/>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0274A6C"/>
    <w:multiLevelType w:val="hybridMultilevel"/>
    <w:tmpl w:val="36B4EE8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6591607"/>
    <w:multiLevelType w:val="hybridMultilevel"/>
    <w:tmpl w:val="74B6F10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9480CFE"/>
    <w:multiLevelType w:val="hybridMultilevel"/>
    <w:tmpl w:val="197E5B9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7FA82B1B"/>
    <w:multiLevelType w:val="hybridMultilevel"/>
    <w:tmpl w:val="D69A70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FB4737C"/>
    <w:multiLevelType w:val="hybridMultilevel"/>
    <w:tmpl w:val="6784BE32"/>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2"/>
  </w:num>
  <w:num w:numId="2">
    <w:abstractNumId w:val="6"/>
  </w:num>
  <w:num w:numId="3">
    <w:abstractNumId w:val="16"/>
  </w:num>
  <w:num w:numId="4">
    <w:abstractNumId w:val="15"/>
  </w:num>
  <w:num w:numId="5">
    <w:abstractNumId w:val="2"/>
  </w:num>
  <w:num w:numId="6">
    <w:abstractNumId w:val="5"/>
  </w:num>
  <w:num w:numId="7">
    <w:abstractNumId w:val="8"/>
  </w:num>
  <w:num w:numId="8">
    <w:abstractNumId w:val="13"/>
  </w:num>
  <w:num w:numId="9">
    <w:abstractNumId w:val="4"/>
  </w:num>
  <w:num w:numId="10">
    <w:abstractNumId w:val="10"/>
  </w:num>
  <w:num w:numId="11">
    <w:abstractNumId w:val="3"/>
  </w:num>
  <w:num w:numId="12">
    <w:abstractNumId w:val="1"/>
  </w:num>
  <w:num w:numId="13">
    <w:abstractNumId w:val="0"/>
  </w:num>
  <w:num w:numId="14">
    <w:abstractNumId w:val="11"/>
  </w:num>
  <w:num w:numId="15">
    <w:abstractNumId w:val="9"/>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A9"/>
    <w:rsid w:val="00016AF0"/>
    <w:rsid w:val="000258EB"/>
    <w:rsid w:val="000D132B"/>
    <w:rsid w:val="000E42D4"/>
    <w:rsid w:val="001351A9"/>
    <w:rsid w:val="00141E0D"/>
    <w:rsid w:val="0016096F"/>
    <w:rsid w:val="001A7E9D"/>
    <w:rsid w:val="00235C9B"/>
    <w:rsid w:val="002B2A7E"/>
    <w:rsid w:val="002B3FB9"/>
    <w:rsid w:val="003830E6"/>
    <w:rsid w:val="00392F4B"/>
    <w:rsid w:val="003C31CA"/>
    <w:rsid w:val="003D5B1B"/>
    <w:rsid w:val="003E7C2D"/>
    <w:rsid w:val="004243B5"/>
    <w:rsid w:val="00426347"/>
    <w:rsid w:val="004A2B4E"/>
    <w:rsid w:val="004A3EA1"/>
    <w:rsid w:val="004C13B0"/>
    <w:rsid w:val="004D1CD4"/>
    <w:rsid w:val="004E193C"/>
    <w:rsid w:val="00522BD4"/>
    <w:rsid w:val="005612C2"/>
    <w:rsid w:val="005C58D1"/>
    <w:rsid w:val="005D0C6C"/>
    <w:rsid w:val="005D0D12"/>
    <w:rsid w:val="005D5BB7"/>
    <w:rsid w:val="005E34AE"/>
    <w:rsid w:val="005E4308"/>
    <w:rsid w:val="006205B5"/>
    <w:rsid w:val="006250D8"/>
    <w:rsid w:val="00640C1B"/>
    <w:rsid w:val="0065584C"/>
    <w:rsid w:val="006636A6"/>
    <w:rsid w:val="00684E0B"/>
    <w:rsid w:val="006A0722"/>
    <w:rsid w:val="00707561"/>
    <w:rsid w:val="00721FED"/>
    <w:rsid w:val="00726E6D"/>
    <w:rsid w:val="00735F52"/>
    <w:rsid w:val="0075175E"/>
    <w:rsid w:val="00760CB6"/>
    <w:rsid w:val="00777417"/>
    <w:rsid w:val="007966BD"/>
    <w:rsid w:val="007E4087"/>
    <w:rsid w:val="00841D86"/>
    <w:rsid w:val="008B62A0"/>
    <w:rsid w:val="008C69FE"/>
    <w:rsid w:val="008D6020"/>
    <w:rsid w:val="00955763"/>
    <w:rsid w:val="00993A3C"/>
    <w:rsid w:val="009B20D9"/>
    <w:rsid w:val="009C72D1"/>
    <w:rsid w:val="009C7ABA"/>
    <w:rsid w:val="009F66DB"/>
    <w:rsid w:val="00A0438D"/>
    <w:rsid w:val="00A201EE"/>
    <w:rsid w:val="00A21EC9"/>
    <w:rsid w:val="00A31418"/>
    <w:rsid w:val="00A34C25"/>
    <w:rsid w:val="00A53975"/>
    <w:rsid w:val="00A737C8"/>
    <w:rsid w:val="00AF402C"/>
    <w:rsid w:val="00B00F54"/>
    <w:rsid w:val="00B3228F"/>
    <w:rsid w:val="00B415D0"/>
    <w:rsid w:val="00B70DB2"/>
    <w:rsid w:val="00C23FCC"/>
    <w:rsid w:val="00CE4842"/>
    <w:rsid w:val="00CF27ED"/>
    <w:rsid w:val="00D03DE1"/>
    <w:rsid w:val="00D568E4"/>
    <w:rsid w:val="00D67C21"/>
    <w:rsid w:val="00DA3300"/>
    <w:rsid w:val="00DA3384"/>
    <w:rsid w:val="00DE33B5"/>
    <w:rsid w:val="00DF129F"/>
    <w:rsid w:val="00DF2FDE"/>
    <w:rsid w:val="00DF7932"/>
    <w:rsid w:val="00E470DE"/>
    <w:rsid w:val="00E6597A"/>
    <w:rsid w:val="00EB7489"/>
    <w:rsid w:val="00F144E7"/>
    <w:rsid w:val="00F307CC"/>
    <w:rsid w:val="00F36DED"/>
    <w:rsid w:val="00F73E31"/>
    <w:rsid w:val="00FC2C0A"/>
    <w:rsid w:val="00FF6C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C90B78"/>
  <w15:chartTrackingRefBased/>
  <w15:docId w15:val="{A845A1D2-3793-465F-B329-00353A89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DF2FDE"/>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1CD4"/>
    <w:pPr>
      <w:ind w:leftChars="200" w:left="480"/>
    </w:pPr>
  </w:style>
  <w:style w:type="paragraph" w:styleId="a4">
    <w:name w:val="header"/>
    <w:basedOn w:val="a"/>
    <w:link w:val="a5"/>
    <w:uiPriority w:val="99"/>
    <w:unhideWhenUsed/>
    <w:rsid w:val="00684E0B"/>
    <w:pPr>
      <w:tabs>
        <w:tab w:val="center" w:pos="4153"/>
        <w:tab w:val="right" w:pos="8306"/>
      </w:tabs>
      <w:snapToGrid w:val="0"/>
    </w:pPr>
    <w:rPr>
      <w:sz w:val="20"/>
      <w:szCs w:val="20"/>
    </w:rPr>
  </w:style>
  <w:style w:type="character" w:customStyle="1" w:styleId="a5">
    <w:name w:val="頁首 字元"/>
    <w:basedOn w:val="a0"/>
    <w:link w:val="a4"/>
    <w:uiPriority w:val="99"/>
    <w:rsid w:val="00684E0B"/>
    <w:rPr>
      <w:sz w:val="20"/>
      <w:szCs w:val="20"/>
    </w:rPr>
  </w:style>
  <w:style w:type="paragraph" w:styleId="a6">
    <w:name w:val="footer"/>
    <w:basedOn w:val="a"/>
    <w:link w:val="a7"/>
    <w:uiPriority w:val="99"/>
    <w:unhideWhenUsed/>
    <w:rsid w:val="00684E0B"/>
    <w:pPr>
      <w:tabs>
        <w:tab w:val="center" w:pos="4153"/>
        <w:tab w:val="right" w:pos="8306"/>
      </w:tabs>
      <w:snapToGrid w:val="0"/>
    </w:pPr>
    <w:rPr>
      <w:sz w:val="20"/>
      <w:szCs w:val="20"/>
    </w:rPr>
  </w:style>
  <w:style w:type="character" w:customStyle="1" w:styleId="a7">
    <w:name w:val="頁尾 字元"/>
    <w:basedOn w:val="a0"/>
    <w:link w:val="a6"/>
    <w:uiPriority w:val="99"/>
    <w:rsid w:val="00684E0B"/>
    <w:rPr>
      <w:sz w:val="20"/>
      <w:szCs w:val="20"/>
    </w:rPr>
  </w:style>
  <w:style w:type="table" w:styleId="a8">
    <w:name w:val="Table Grid"/>
    <w:basedOn w:val="a1"/>
    <w:uiPriority w:val="39"/>
    <w:rsid w:val="00F73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73E3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73E31"/>
    <w:rPr>
      <w:rFonts w:asciiTheme="majorHAnsi" w:eastAsiaTheme="majorEastAsia" w:hAnsiTheme="majorHAnsi" w:cstheme="majorBidi"/>
      <w:sz w:val="18"/>
      <w:szCs w:val="18"/>
    </w:rPr>
  </w:style>
  <w:style w:type="character" w:customStyle="1" w:styleId="30">
    <w:name w:val="標題 3 字元"/>
    <w:basedOn w:val="a0"/>
    <w:link w:val="3"/>
    <w:uiPriority w:val="9"/>
    <w:rsid w:val="00DF2FDE"/>
    <w:rPr>
      <w:rFonts w:ascii="新細明體" w:eastAsia="新細明體" w:hAnsi="新細明體" w:cs="新細明體"/>
      <w:b/>
      <w:bCs/>
      <w:kern w:val="0"/>
      <w:sz w:val="27"/>
      <w:szCs w:val="27"/>
    </w:rPr>
  </w:style>
  <w:style w:type="character" w:styleId="ab">
    <w:name w:val="Strong"/>
    <w:basedOn w:val="a0"/>
    <w:uiPriority w:val="22"/>
    <w:qFormat/>
    <w:rsid w:val="00DF2F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5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elena.chiu@W10V06-110</dc:creator>
  <cp:keywords/>
  <dc:description/>
  <cp:lastModifiedBy>elena.chiu@W10V06-110</cp:lastModifiedBy>
  <cp:revision>35</cp:revision>
  <cp:lastPrinted>2024-12-23T06:31:00Z</cp:lastPrinted>
  <dcterms:created xsi:type="dcterms:W3CDTF">2024-12-30T09:01:00Z</dcterms:created>
  <dcterms:modified xsi:type="dcterms:W3CDTF">2025-04-11T07:51:00Z</dcterms:modified>
</cp:coreProperties>
</file>