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3FCF7" w14:textId="7EF94B6F" w:rsidR="00FD412C" w:rsidRPr="00FD412C" w:rsidRDefault="00FD412C" w:rsidP="00F226AE">
      <w:pPr>
        <w:spacing w:line="0" w:lineRule="atLeast"/>
        <w:rPr>
          <w:rFonts w:ascii="微軟正黑體" w:eastAsia="微軟正黑體" w:hAnsi="微軟正黑體"/>
          <w:b/>
          <w:bCs/>
          <w:color w:val="C00000"/>
          <w:sz w:val="22"/>
        </w:rPr>
      </w:pPr>
      <w:r w:rsidRPr="00FD412C">
        <w:rPr>
          <w:rFonts w:ascii="微軟正黑體" w:eastAsia="微軟正黑體" w:hAnsi="微軟正黑體" w:hint="eastAsia"/>
          <w:b/>
          <w:bCs/>
          <w:color w:val="C00000"/>
          <w:sz w:val="22"/>
        </w:rPr>
        <w:t>開頭敘述和表格內容皆可以從後台更改</w:t>
      </w:r>
    </w:p>
    <w:p w14:paraId="237DC1FC" w14:textId="77777777" w:rsidR="00FD412C" w:rsidRDefault="00FD412C" w:rsidP="00F226AE">
      <w:pPr>
        <w:spacing w:line="0" w:lineRule="atLeast"/>
        <w:rPr>
          <w:rFonts w:ascii="微軟正黑體" w:eastAsia="微軟正黑體" w:hAnsi="微軟正黑體"/>
          <w:b/>
          <w:bCs/>
          <w:sz w:val="22"/>
        </w:rPr>
      </w:pPr>
    </w:p>
    <w:p w14:paraId="3C156A33" w14:textId="4BC3D1F6" w:rsidR="00F16A4E" w:rsidRDefault="00B057F3" w:rsidP="005C2DF3">
      <w:pPr>
        <w:rPr>
          <w:rFonts w:asciiTheme="minorHAnsi" w:eastAsia="微軟正黑體" w:hAnsiTheme="minorHAnsi" w:cstheme="minorHAnsi"/>
          <w:bCs/>
          <w:sz w:val="24"/>
        </w:rPr>
      </w:pPr>
      <w:r w:rsidRPr="00B057F3">
        <w:rPr>
          <w:rFonts w:asciiTheme="minorHAnsi" w:eastAsia="微軟正黑體" w:hAnsiTheme="minorHAnsi" w:cstheme="minorHAnsi"/>
          <w:bCs/>
          <w:sz w:val="24"/>
        </w:rPr>
        <w:t>Global Unichip Corp. (GUC) values the concerns and expectations of its stakeholders. To understand the level of attention stakeholders pay to sustainability issues and to evaluate the effectiveness of GUC's internal sustainability initiatives, we conducted a materiality analysis based on the process recommended by the Global Reporting Initiative (GRI). This helped us identify relevant stakeholder categories and key sustainability issues through communication channels.</w:t>
      </w:r>
    </w:p>
    <w:p w14:paraId="325AB49E" w14:textId="5CCFDA9A" w:rsidR="00B057F3" w:rsidRDefault="00B057F3" w:rsidP="005C2DF3">
      <w:pPr>
        <w:rPr>
          <w:rFonts w:asciiTheme="minorHAnsi" w:eastAsia="微軟正黑體" w:hAnsiTheme="minorHAnsi" w:cstheme="minorHAnsi"/>
          <w:bCs/>
          <w:sz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3"/>
        <w:gridCol w:w="2216"/>
        <w:gridCol w:w="4950"/>
        <w:gridCol w:w="5409"/>
      </w:tblGrid>
      <w:tr w:rsidR="004B760B" w:rsidRPr="00B057F3" w14:paraId="487D2734" w14:textId="77777777" w:rsidTr="00B057F3">
        <w:trPr>
          <w:tblHeader/>
          <w:tblCellSpacing w:w="15" w:type="dxa"/>
        </w:trPr>
        <w:tc>
          <w:tcPr>
            <w:tcW w:w="0" w:type="auto"/>
            <w:shd w:val="clear" w:color="auto" w:fill="BDD6EE" w:themeFill="accent1" w:themeFillTint="66"/>
            <w:vAlign w:val="center"/>
            <w:hideMark/>
          </w:tcPr>
          <w:p w14:paraId="50DC7C88" w14:textId="77777777" w:rsidR="00B057F3" w:rsidRPr="00B057F3" w:rsidRDefault="00B057F3" w:rsidP="00B057F3">
            <w:pPr>
              <w:jc w:val="center"/>
              <w:rPr>
                <w:rFonts w:asciiTheme="minorHAnsi" w:eastAsia="新細明體" w:hAnsiTheme="minorHAnsi" w:cstheme="minorHAnsi"/>
                <w:b/>
                <w:bCs/>
                <w:sz w:val="24"/>
                <w:szCs w:val="24"/>
              </w:rPr>
            </w:pPr>
            <w:r w:rsidRPr="00B057F3">
              <w:rPr>
                <w:rFonts w:asciiTheme="minorHAnsi" w:eastAsia="新細明體" w:hAnsiTheme="minorHAnsi" w:cstheme="minorHAnsi"/>
                <w:b/>
                <w:bCs/>
                <w:sz w:val="24"/>
                <w:szCs w:val="24"/>
              </w:rPr>
              <w:t>Stakeholder</w:t>
            </w:r>
          </w:p>
        </w:tc>
        <w:tc>
          <w:tcPr>
            <w:tcW w:w="0" w:type="auto"/>
            <w:shd w:val="clear" w:color="auto" w:fill="BDD6EE" w:themeFill="accent1" w:themeFillTint="66"/>
            <w:vAlign w:val="center"/>
            <w:hideMark/>
          </w:tcPr>
          <w:p w14:paraId="35A2411A" w14:textId="26E83D2A" w:rsidR="00B057F3" w:rsidRPr="00B057F3" w:rsidRDefault="005F5CF6" w:rsidP="00B057F3">
            <w:pPr>
              <w:jc w:val="center"/>
              <w:rPr>
                <w:rFonts w:asciiTheme="minorHAnsi" w:eastAsia="新細明體" w:hAnsiTheme="minorHAnsi" w:cstheme="minorHAnsi"/>
                <w:b/>
                <w:bCs/>
                <w:sz w:val="24"/>
                <w:szCs w:val="24"/>
              </w:rPr>
            </w:pPr>
            <w:r w:rsidRPr="005F5CF6">
              <w:rPr>
                <w:rFonts w:asciiTheme="minorHAnsi" w:eastAsia="新細明體" w:hAnsiTheme="minorHAnsi" w:cstheme="minorHAnsi"/>
                <w:b/>
                <w:bCs/>
                <w:sz w:val="24"/>
                <w:szCs w:val="24"/>
              </w:rPr>
              <w:t>Focal Issues</w:t>
            </w:r>
          </w:p>
        </w:tc>
        <w:tc>
          <w:tcPr>
            <w:tcW w:w="0" w:type="auto"/>
            <w:shd w:val="clear" w:color="auto" w:fill="BDD6EE" w:themeFill="accent1" w:themeFillTint="66"/>
            <w:vAlign w:val="center"/>
            <w:hideMark/>
          </w:tcPr>
          <w:p w14:paraId="2CA8582A" w14:textId="77777777" w:rsidR="00B057F3" w:rsidRPr="00B057F3" w:rsidRDefault="00B057F3" w:rsidP="00B057F3">
            <w:pPr>
              <w:jc w:val="center"/>
              <w:rPr>
                <w:rFonts w:asciiTheme="minorHAnsi" w:eastAsia="新細明體" w:hAnsiTheme="minorHAnsi" w:cstheme="minorHAnsi"/>
                <w:b/>
                <w:bCs/>
                <w:sz w:val="24"/>
                <w:szCs w:val="24"/>
              </w:rPr>
            </w:pPr>
            <w:r w:rsidRPr="00B057F3">
              <w:rPr>
                <w:rFonts w:asciiTheme="minorHAnsi" w:eastAsia="新細明體" w:hAnsiTheme="minorHAnsi" w:cstheme="minorHAnsi"/>
                <w:b/>
                <w:bCs/>
                <w:sz w:val="24"/>
                <w:szCs w:val="24"/>
              </w:rPr>
              <w:t>Communication Methods and Frequency</w:t>
            </w:r>
          </w:p>
        </w:tc>
        <w:tc>
          <w:tcPr>
            <w:tcW w:w="0" w:type="auto"/>
            <w:shd w:val="clear" w:color="auto" w:fill="BDD6EE" w:themeFill="accent1" w:themeFillTint="66"/>
            <w:vAlign w:val="center"/>
            <w:hideMark/>
          </w:tcPr>
          <w:p w14:paraId="514B154E" w14:textId="77777777" w:rsidR="00B057F3" w:rsidRPr="00B057F3" w:rsidRDefault="00B057F3" w:rsidP="00B057F3">
            <w:pPr>
              <w:jc w:val="center"/>
              <w:rPr>
                <w:rFonts w:asciiTheme="minorHAnsi" w:eastAsia="新細明體" w:hAnsiTheme="minorHAnsi" w:cstheme="minorHAnsi"/>
                <w:b/>
                <w:bCs/>
                <w:sz w:val="24"/>
                <w:szCs w:val="24"/>
              </w:rPr>
            </w:pPr>
            <w:r w:rsidRPr="00B057F3">
              <w:rPr>
                <w:rFonts w:asciiTheme="minorHAnsi" w:eastAsia="新細明體" w:hAnsiTheme="minorHAnsi" w:cstheme="minorHAnsi"/>
                <w:b/>
                <w:bCs/>
                <w:sz w:val="24"/>
                <w:szCs w:val="24"/>
              </w:rPr>
              <w:t>Communication Performance</w:t>
            </w:r>
          </w:p>
        </w:tc>
      </w:tr>
      <w:tr w:rsidR="00B057F3" w:rsidRPr="00B057F3" w14:paraId="2D5EFF7F" w14:textId="77777777" w:rsidTr="00B057F3">
        <w:trPr>
          <w:tblCellSpacing w:w="15" w:type="dxa"/>
        </w:trPr>
        <w:tc>
          <w:tcPr>
            <w:tcW w:w="0" w:type="auto"/>
            <w:vAlign w:val="center"/>
            <w:hideMark/>
          </w:tcPr>
          <w:p w14:paraId="0455D5E1"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b/>
                <w:bCs/>
                <w:sz w:val="24"/>
                <w:szCs w:val="24"/>
              </w:rPr>
              <w:t>Shareholders/Investors</w:t>
            </w:r>
          </w:p>
        </w:tc>
        <w:tc>
          <w:tcPr>
            <w:tcW w:w="0" w:type="auto"/>
            <w:vAlign w:val="center"/>
            <w:hideMark/>
          </w:tcPr>
          <w:p w14:paraId="6BFAC000" w14:textId="2151AA84"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Corporate Governance</w:t>
            </w:r>
            <w:r w:rsidRPr="00B057F3">
              <w:rPr>
                <w:rFonts w:asciiTheme="minorHAnsi" w:eastAsia="新細明體" w:hAnsiTheme="minorHAnsi" w:cstheme="minorHAnsi"/>
                <w:sz w:val="24"/>
                <w:szCs w:val="24"/>
              </w:rPr>
              <w:br/>
              <w:t>- R&amp;D and Innovation</w:t>
            </w:r>
            <w:r w:rsidRPr="00B057F3">
              <w:rPr>
                <w:rFonts w:asciiTheme="minorHAnsi" w:eastAsia="新細明體" w:hAnsiTheme="minorHAnsi" w:cstheme="minorHAnsi"/>
                <w:sz w:val="24"/>
                <w:szCs w:val="24"/>
              </w:rPr>
              <w:br/>
              <w:t xml:space="preserve">- </w:t>
            </w:r>
            <w:r w:rsidR="005F5CF6" w:rsidRPr="005F5CF6">
              <w:rPr>
                <w:rFonts w:asciiTheme="minorHAnsi" w:eastAsia="新細明體" w:hAnsiTheme="minorHAnsi" w:cstheme="minorHAnsi"/>
                <w:sz w:val="24"/>
                <w:szCs w:val="24"/>
              </w:rPr>
              <w:t>Corporate Training</w:t>
            </w:r>
            <w:r w:rsidRPr="00B057F3">
              <w:rPr>
                <w:rFonts w:asciiTheme="minorHAnsi" w:eastAsia="新細明體" w:hAnsiTheme="minorHAnsi" w:cstheme="minorHAnsi"/>
                <w:sz w:val="24"/>
                <w:szCs w:val="24"/>
              </w:rPr>
              <w:br/>
              <w:t xml:space="preserve">- </w:t>
            </w:r>
            <w:r w:rsidR="005F5CF6" w:rsidRPr="005F5CF6">
              <w:rPr>
                <w:rFonts w:asciiTheme="minorHAnsi" w:eastAsia="新細明體" w:hAnsiTheme="minorHAnsi" w:cstheme="minorHAnsi"/>
                <w:sz w:val="24"/>
                <w:szCs w:val="24"/>
              </w:rPr>
              <w:t>Talent Recruitment and Retention</w:t>
            </w:r>
          </w:p>
        </w:tc>
        <w:tc>
          <w:tcPr>
            <w:tcW w:w="0" w:type="auto"/>
            <w:vAlign w:val="center"/>
            <w:hideMark/>
          </w:tcPr>
          <w:p w14:paraId="0DA4A0BC"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Annual General Meeting: Q2</w:t>
            </w:r>
            <w:r w:rsidRPr="00B057F3">
              <w:rPr>
                <w:rFonts w:asciiTheme="minorHAnsi" w:eastAsia="新細明體" w:hAnsiTheme="minorHAnsi" w:cstheme="minorHAnsi"/>
                <w:sz w:val="24"/>
                <w:szCs w:val="24"/>
              </w:rPr>
              <w:br/>
              <w:t>- Sustainability Report: Annually</w:t>
            </w:r>
            <w:r w:rsidRPr="00B057F3">
              <w:rPr>
                <w:rFonts w:asciiTheme="minorHAnsi" w:eastAsia="新細明體" w:hAnsiTheme="minorHAnsi" w:cstheme="minorHAnsi"/>
                <w:sz w:val="24"/>
                <w:szCs w:val="24"/>
              </w:rPr>
              <w:br/>
              <w:t>- Annual Report before AGM: Annually</w:t>
            </w:r>
            <w:r w:rsidRPr="00B057F3">
              <w:rPr>
                <w:rFonts w:asciiTheme="minorHAnsi" w:eastAsia="新細明體" w:hAnsiTheme="minorHAnsi" w:cstheme="minorHAnsi"/>
                <w:sz w:val="24"/>
                <w:szCs w:val="24"/>
              </w:rPr>
              <w:br/>
              <w:t>- Conference Calls &amp; Emails: As Needed</w:t>
            </w:r>
            <w:r w:rsidRPr="00B057F3">
              <w:rPr>
                <w:rFonts w:asciiTheme="minorHAnsi" w:eastAsia="新細明體" w:hAnsiTheme="minorHAnsi" w:cstheme="minorHAnsi"/>
                <w:sz w:val="24"/>
                <w:szCs w:val="24"/>
              </w:rPr>
              <w:br/>
              <w:t>- Investor Briefings: Twice a Year</w:t>
            </w:r>
            <w:r w:rsidRPr="00B057F3">
              <w:rPr>
                <w:rFonts w:asciiTheme="minorHAnsi" w:eastAsia="新細明體" w:hAnsiTheme="minorHAnsi" w:cstheme="minorHAnsi"/>
                <w:sz w:val="24"/>
                <w:szCs w:val="24"/>
              </w:rPr>
              <w:br/>
              <w:t>- Broker Seminars: Several times per quarter</w:t>
            </w:r>
            <w:r w:rsidRPr="00B057F3">
              <w:rPr>
                <w:rFonts w:asciiTheme="minorHAnsi" w:eastAsia="新細明體" w:hAnsiTheme="minorHAnsi" w:cstheme="minorHAnsi"/>
                <w:sz w:val="24"/>
                <w:szCs w:val="24"/>
              </w:rPr>
              <w:br/>
              <w:t>- Financial Reports: Quarterly</w:t>
            </w:r>
          </w:p>
        </w:tc>
        <w:tc>
          <w:tcPr>
            <w:tcW w:w="0" w:type="auto"/>
            <w:vAlign w:val="center"/>
            <w:hideMark/>
          </w:tcPr>
          <w:p w14:paraId="7FB712F3"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Continued investment in R&amp;D and increased patent application quality.</w:t>
            </w:r>
            <w:r w:rsidRPr="00B057F3">
              <w:rPr>
                <w:rFonts w:asciiTheme="minorHAnsi" w:eastAsia="新細明體" w:hAnsiTheme="minorHAnsi" w:cstheme="minorHAnsi"/>
                <w:sz w:val="24"/>
                <w:szCs w:val="24"/>
              </w:rPr>
              <w:br/>
              <w:t>- Disclosure of corporate governance information including financial performance, strategies, dividends, policies, litigation, non-litigation or administrative disputes.</w:t>
            </w:r>
            <w:r w:rsidRPr="00B057F3">
              <w:rPr>
                <w:rFonts w:asciiTheme="minorHAnsi" w:eastAsia="新細明體" w:hAnsiTheme="minorHAnsi" w:cstheme="minorHAnsi"/>
                <w:sz w:val="24"/>
                <w:szCs w:val="24"/>
              </w:rPr>
              <w:br/>
              <w:t>- Employee violations due to failure to protect confidential information amounted to 0.122%. No significant information security incidents in 2023.</w:t>
            </w:r>
            <w:r w:rsidRPr="00B057F3">
              <w:rPr>
                <w:rFonts w:asciiTheme="minorHAnsi" w:eastAsia="新細明體" w:hAnsiTheme="minorHAnsi" w:cstheme="minorHAnsi"/>
                <w:sz w:val="24"/>
                <w:szCs w:val="24"/>
              </w:rPr>
              <w:br/>
              <w:t>- ISO 9001 certification maintained annually and received Sony’s green product certification, becoming a supplier partner to Sony.</w:t>
            </w:r>
          </w:p>
        </w:tc>
      </w:tr>
      <w:tr w:rsidR="00B057F3" w:rsidRPr="00B057F3" w14:paraId="2062B8DD" w14:textId="77777777" w:rsidTr="00B057F3">
        <w:trPr>
          <w:tblCellSpacing w:w="15" w:type="dxa"/>
        </w:trPr>
        <w:tc>
          <w:tcPr>
            <w:tcW w:w="0" w:type="auto"/>
            <w:vAlign w:val="center"/>
            <w:hideMark/>
          </w:tcPr>
          <w:p w14:paraId="307C717F"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b/>
                <w:bCs/>
                <w:sz w:val="24"/>
                <w:szCs w:val="24"/>
              </w:rPr>
              <w:t>Employees</w:t>
            </w:r>
          </w:p>
        </w:tc>
        <w:tc>
          <w:tcPr>
            <w:tcW w:w="0" w:type="auto"/>
            <w:vAlign w:val="center"/>
            <w:hideMark/>
          </w:tcPr>
          <w:p w14:paraId="311ADE1E" w14:textId="560B48AF"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Occupational Safety and Health</w:t>
            </w:r>
            <w:r w:rsidRPr="00B057F3">
              <w:rPr>
                <w:rFonts w:asciiTheme="minorHAnsi" w:eastAsia="新細明體" w:hAnsiTheme="minorHAnsi" w:cstheme="minorHAnsi"/>
                <w:sz w:val="24"/>
                <w:szCs w:val="24"/>
              </w:rPr>
              <w:br/>
              <w:t>- R&amp;D and Innovation</w:t>
            </w:r>
            <w:r w:rsidRPr="00B057F3">
              <w:rPr>
                <w:rFonts w:asciiTheme="minorHAnsi" w:eastAsia="新細明體" w:hAnsiTheme="minorHAnsi" w:cstheme="minorHAnsi"/>
                <w:sz w:val="24"/>
                <w:szCs w:val="24"/>
              </w:rPr>
              <w:br/>
              <w:t xml:space="preserve">- </w:t>
            </w:r>
            <w:r w:rsidR="005F5CF6" w:rsidRPr="005F5CF6">
              <w:rPr>
                <w:rFonts w:asciiTheme="minorHAnsi" w:eastAsia="新細明體" w:hAnsiTheme="minorHAnsi" w:cstheme="minorHAnsi"/>
                <w:sz w:val="24"/>
                <w:szCs w:val="24"/>
              </w:rPr>
              <w:t>Talent Recruitment and Retention</w:t>
            </w:r>
            <w:r w:rsidRPr="00B057F3">
              <w:rPr>
                <w:rFonts w:asciiTheme="minorHAnsi" w:eastAsia="新細明體" w:hAnsiTheme="minorHAnsi" w:cstheme="minorHAnsi"/>
                <w:sz w:val="24"/>
                <w:szCs w:val="24"/>
              </w:rPr>
              <w:br/>
              <w:t>- Information Security and Privacy Protection</w:t>
            </w:r>
          </w:p>
        </w:tc>
        <w:tc>
          <w:tcPr>
            <w:tcW w:w="0" w:type="auto"/>
            <w:vAlign w:val="center"/>
            <w:hideMark/>
          </w:tcPr>
          <w:p w14:paraId="6EC7FB97"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Employee Communication Meetings: Quarterly</w:t>
            </w:r>
            <w:r w:rsidRPr="00B057F3">
              <w:rPr>
                <w:rFonts w:asciiTheme="minorHAnsi" w:eastAsia="新細明體" w:hAnsiTheme="minorHAnsi" w:cstheme="minorHAnsi"/>
                <w:sz w:val="24"/>
                <w:szCs w:val="24"/>
              </w:rPr>
              <w:br/>
              <w:t>- Labor-Management Meetings: Quarterly</w:t>
            </w:r>
            <w:r w:rsidRPr="00B057F3">
              <w:rPr>
                <w:rFonts w:asciiTheme="minorHAnsi" w:eastAsia="新細明體" w:hAnsiTheme="minorHAnsi" w:cstheme="minorHAnsi"/>
                <w:sz w:val="24"/>
                <w:szCs w:val="24"/>
              </w:rPr>
              <w:br/>
              <w:t>- Departmental Meetings: Weekly/Monthly</w:t>
            </w:r>
            <w:r w:rsidRPr="00B057F3">
              <w:rPr>
                <w:rFonts w:asciiTheme="minorHAnsi" w:eastAsia="新細明體" w:hAnsiTheme="minorHAnsi" w:cstheme="minorHAnsi"/>
                <w:sz w:val="24"/>
                <w:szCs w:val="24"/>
              </w:rPr>
              <w:br/>
              <w:t>- HR Services &amp; Surveys: As Needed</w:t>
            </w:r>
            <w:r w:rsidRPr="00B057F3">
              <w:rPr>
                <w:rFonts w:asciiTheme="minorHAnsi" w:eastAsia="新細明體" w:hAnsiTheme="minorHAnsi" w:cstheme="minorHAnsi"/>
                <w:sz w:val="24"/>
                <w:szCs w:val="24"/>
              </w:rPr>
              <w:br/>
              <w:t>- Employee Grievance and Whistleblower System: As Needed</w:t>
            </w:r>
          </w:p>
        </w:tc>
        <w:tc>
          <w:tcPr>
            <w:tcW w:w="0" w:type="auto"/>
            <w:vAlign w:val="center"/>
            <w:hideMark/>
          </w:tcPr>
          <w:p w14:paraId="090BAFC4"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Employee base includes local residents and employees from 12 countries, fostering a diverse, inclusive, and friendly work environment.</w:t>
            </w:r>
            <w:r w:rsidRPr="00B057F3">
              <w:rPr>
                <w:rFonts w:asciiTheme="minorHAnsi" w:eastAsia="新細明體" w:hAnsiTheme="minorHAnsi" w:cstheme="minorHAnsi"/>
                <w:sz w:val="24"/>
                <w:szCs w:val="24"/>
              </w:rPr>
              <w:br/>
              <w:t>- Total training expenditure in 2023 was approximately NT$2.09 million, with an average learning time of 10.9 hours per employee.</w:t>
            </w:r>
            <w:r w:rsidRPr="00B057F3">
              <w:rPr>
                <w:rFonts w:asciiTheme="minorHAnsi" w:eastAsia="新細明體" w:hAnsiTheme="minorHAnsi" w:cstheme="minorHAnsi"/>
                <w:sz w:val="24"/>
                <w:szCs w:val="24"/>
              </w:rPr>
              <w:br/>
              <w:t>- The standard salary for entry-level engineers at all locations is significantly higher than the local statutory minimum wage.</w:t>
            </w:r>
            <w:r w:rsidRPr="00B057F3">
              <w:rPr>
                <w:rFonts w:asciiTheme="minorHAnsi" w:eastAsia="新細明體" w:hAnsiTheme="minorHAnsi" w:cstheme="minorHAnsi"/>
                <w:sz w:val="24"/>
                <w:szCs w:val="24"/>
              </w:rPr>
              <w:br/>
            </w:r>
            <w:r w:rsidRPr="00B057F3">
              <w:rPr>
                <w:rFonts w:asciiTheme="minorHAnsi" w:eastAsia="新細明體" w:hAnsiTheme="minorHAnsi" w:cstheme="minorHAnsi"/>
                <w:sz w:val="24"/>
                <w:szCs w:val="24"/>
              </w:rPr>
              <w:lastRenderedPageBreak/>
              <w:t>- Completed human rights due diligence and established complaint and reporting systems for follow-up.</w:t>
            </w:r>
          </w:p>
        </w:tc>
      </w:tr>
      <w:tr w:rsidR="00B057F3" w:rsidRPr="00B057F3" w14:paraId="7AE20723" w14:textId="77777777" w:rsidTr="00B057F3">
        <w:trPr>
          <w:tblCellSpacing w:w="15" w:type="dxa"/>
        </w:trPr>
        <w:tc>
          <w:tcPr>
            <w:tcW w:w="0" w:type="auto"/>
            <w:vAlign w:val="center"/>
            <w:hideMark/>
          </w:tcPr>
          <w:p w14:paraId="065AB4C7"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b/>
                <w:bCs/>
                <w:sz w:val="24"/>
                <w:szCs w:val="24"/>
              </w:rPr>
              <w:lastRenderedPageBreak/>
              <w:t>Customers</w:t>
            </w:r>
          </w:p>
        </w:tc>
        <w:tc>
          <w:tcPr>
            <w:tcW w:w="0" w:type="auto"/>
            <w:vAlign w:val="center"/>
            <w:hideMark/>
          </w:tcPr>
          <w:p w14:paraId="60D5FC80" w14:textId="4C2DA87F"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xml:space="preserve">- Quality </w:t>
            </w:r>
            <w:r w:rsidR="00A44014" w:rsidRPr="00A44014">
              <w:rPr>
                <w:rFonts w:asciiTheme="minorHAnsi" w:eastAsia="新細明體" w:hAnsiTheme="minorHAnsi" w:cstheme="minorHAnsi"/>
                <w:sz w:val="24"/>
                <w:szCs w:val="24"/>
              </w:rPr>
              <w:t>Enhancement</w:t>
            </w:r>
            <w:r w:rsidRPr="00B057F3">
              <w:rPr>
                <w:rFonts w:asciiTheme="minorHAnsi" w:eastAsia="新細明體" w:hAnsiTheme="minorHAnsi" w:cstheme="minorHAnsi"/>
                <w:sz w:val="24"/>
                <w:szCs w:val="24"/>
              </w:rPr>
              <w:br/>
              <w:t>- R&amp;D and Innovation</w:t>
            </w:r>
            <w:r w:rsidRPr="00B057F3">
              <w:rPr>
                <w:rFonts w:asciiTheme="minorHAnsi" w:eastAsia="新細明體" w:hAnsiTheme="minorHAnsi" w:cstheme="minorHAnsi"/>
                <w:sz w:val="24"/>
                <w:szCs w:val="24"/>
              </w:rPr>
              <w:br/>
              <w:t>- Information Security and Privacy Protection</w:t>
            </w:r>
            <w:r w:rsidRPr="00B057F3">
              <w:rPr>
                <w:rFonts w:asciiTheme="minorHAnsi" w:eastAsia="新細明體" w:hAnsiTheme="minorHAnsi" w:cstheme="minorHAnsi"/>
                <w:sz w:val="24"/>
                <w:szCs w:val="24"/>
              </w:rPr>
              <w:br/>
              <w:t xml:space="preserve">- </w:t>
            </w:r>
            <w:r w:rsidR="00A44014" w:rsidRPr="00A44014">
              <w:rPr>
                <w:rFonts w:asciiTheme="minorHAnsi" w:eastAsia="新細明體" w:hAnsiTheme="minorHAnsi" w:cstheme="minorHAnsi"/>
                <w:sz w:val="24"/>
                <w:szCs w:val="24"/>
              </w:rPr>
              <w:t>Customer Relationship Management</w:t>
            </w:r>
          </w:p>
        </w:tc>
        <w:tc>
          <w:tcPr>
            <w:tcW w:w="0" w:type="auto"/>
            <w:vAlign w:val="center"/>
            <w:hideMark/>
          </w:tcPr>
          <w:p w14:paraId="0C449BE9"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Customer Audits: As Needed</w:t>
            </w:r>
            <w:r w:rsidRPr="00B057F3">
              <w:rPr>
                <w:rFonts w:asciiTheme="minorHAnsi" w:eastAsia="新細明體" w:hAnsiTheme="minorHAnsi" w:cstheme="minorHAnsi"/>
                <w:sz w:val="24"/>
                <w:szCs w:val="24"/>
              </w:rPr>
              <w:br/>
              <w:t>- Customer Meetings: As Needed</w:t>
            </w:r>
            <w:r w:rsidRPr="00B057F3">
              <w:rPr>
                <w:rFonts w:asciiTheme="minorHAnsi" w:eastAsia="新細明體" w:hAnsiTheme="minorHAnsi" w:cstheme="minorHAnsi"/>
                <w:sz w:val="24"/>
                <w:szCs w:val="24"/>
              </w:rPr>
              <w:br/>
              <w:t>- Annual Technical Seminars: Annually</w:t>
            </w:r>
            <w:r w:rsidRPr="00B057F3">
              <w:rPr>
                <w:rFonts w:asciiTheme="minorHAnsi" w:eastAsia="新細明體" w:hAnsiTheme="minorHAnsi" w:cstheme="minorHAnsi"/>
                <w:sz w:val="24"/>
                <w:szCs w:val="24"/>
              </w:rPr>
              <w:br/>
              <w:t>- Customer Satisfaction Surveys: Annually</w:t>
            </w:r>
            <w:r w:rsidRPr="00B057F3">
              <w:rPr>
                <w:rFonts w:asciiTheme="minorHAnsi" w:eastAsia="新細明體" w:hAnsiTheme="minorHAnsi" w:cstheme="minorHAnsi"/>
                <w:sz w:val="24"/>
                <w:szCs w:val="24"/>
              </w:rPr>
              <w:br/>
              <w:t>- Industry &amp; CSR Surveys: As Needed</w:t>
            </w:r>
            <w:r w:rsidRPr="00B057F3">
              <w:rPr>
                <w:rFonts w:asciiTheme="minorHAnsi" w:eastAsia="新細明體" w:hAnsiTheme="minorHAnsi" w:cstheme="minorHAnsi"/>
                <w:sz w:val="24"/>
                <w:szCs w:val="24"/>
              </w:rPr>
              <w:br/>
              <w:t>- Dedicated Email for Client Communication: As Needed</w:t>
            </w:r>
          </w:p>
        </w:tc>
        <w:tc>
          <w:tcPr>
            <w:tcW w:w="0" w:type="auto"/>
            <w:vAlign w:val="center"/>
            <w:hideMark/>
          </w:tcPr>
          <w:p w14:paraId="3F1DF237"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Compliance with RoHS &amp; REACH and environmental regulations.</w:t>
            </w:r>
            <w:r w:rsidRPr="00B057F3">
              <w:rPr>
                <w:rFonts w:asciiTheme="minorHAnsi" w:eastAsia="新細明體" w:hAnsiTheme="minorHAnsi" w:cstheme="minorHAnsi"/>
                <w:sz w:val="24"/>
                <w:szCs w:val="24"/>
              </w:rPr>
              <w:br/>
              <w:t>- Competitive and appropriate compensation strategy based on local labor laws and market surveys.</w:t>
            </w:r>
            <w:r w:rsidRPr="00B057F3">
              <w:rPr>
                <w:rFonts w:asciiTheme="minorHAnsi" w:eastAsia="新細明體" w:hAnsiTheme="minorHAnsi" w:cstheme="minorHAnsi"/>
                <w:sz w:val="24"/>
                <w:szCs w:val="24"/>
              </w:rPr>
              <w:br/>
              <w:t>- No complaints regarding customer privacy violations or data leaks.</w:t>
            </w:r>
            <w:r w:rsidRPr="00B057F3">
              <w:rPr>
                <w:rFonts w:asciiTheme="minorHAnsi" w:eastAsia="新細明體" w:hAnsiTheme="minorHAnsi" w:cstheme="minorHAnsi"/>
                <w:sz w:val="24"/>
                <w:szCs w:val="24"/>
              </w:rPr>
              <w:br/>
              <w:t>- ISO 9001 certification maintained annually and received Sony’s green product certification.</w:t>
            </w:r>
          </w:p>
        </w:tc>
      </w:tr>
      <w:tr w:rsidR="00B057F3" w:rsidRPr="00B057F3" w14:paraId="4052BAFB" w14:textId="77777777" w:rsidTr="00B057F3">
        <w:trPr>
          <w:tblCellSpacing w:w="15" w:type="dxa"/>
        </w:trPr>
        <w:tc>
          <w:tcPr>
            <w:tcW w:w="0" w:type="auto"/>
            <w:vAlign w:val="center"/>
            <w:hideMark/>
          </w:tcPr>
          <w:p w14:paraId="4C38BDC7"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b/>
                <w:bCs/>
                <w:sz w:val="24"/>
                <w:szCs w:val="24"/>
              </w:rPr>
              <w:t>Suppliers</w:t>
            </w:r>
          </w:p>
        </w:tc>
        <w:tc>
          <w:tcPr>
            <w:tcW w:w="0" w:type="auto"/>
            <w:vAlign w:val="center"/>
            <w:hideMark/>
          </w:tcPr>
          <w:p w14:paraId="66264344" w14:textId="77777777" w:rsidR="004B760B"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Information Security and Privacy Protection</w:t>
            </w:r>
            <w:r w:rsidRPr="00B057F3">
              <w:rPr>
                <w:rFonts w:asciiTheme="minorHAnsi" w:eastAsia="新細明體" w:hAnsiTheme="minorHAnsi" w:cstheme="minorHAnsi"/>
                <w:sz w:val="24"/>
                <w:szCs w:val="24"/>
              </w:rPr>
              <w:br/>
              <w:t xml:space="preserve">- </w:t>
            </w:r>
            <w:r w:rsidR="004B760B" w:rsidRPr="004B760B">
              <w:rPr>
                <w:rFonts w:asciiTheme="minorHAnsi" w:eastAsia="新細明體" w:hAnsiTheme="minorHAnsi" w:cstheme="minorHAnsi"/>
                <w:sz w:val="24"/>
                <w:szCs w:val="24"/>
              </w:rPr>
              <w:t xml:space="preserve">Code of Conduct </w:t>
            </w:r>
          </w:p>
          <w:p w14:paraId="37D56312" w14:textId="4FDC51A0"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xml:space="preserve">- </w:t>
            </w:r>
            <w:r w:rsidR="004B760B" w:rsidRPr="00A44014">
              <w:rPr>
                <w:rFonts w:asciiTheme="minorHAnsi" w:eastAsia="新細明體" w:hAnsiTheme="minorHAnsi" w:cstheme="minorHAnsi"/>
                <w:sz w:val="24"/>
                <w:szCs w:val="24"/>
              </w:rPr>
              <w:t>Customer Relationship Management</w:t>
            </w:r>
            <w:r w:rsidRPr="00B057F3">
              <w:rPr>
                <w:rFonts w:asciiTheme="minorHAnsi" w:eastAsia="新細明體" w:hAnsiTheme="minorHAnsi" w:cstheme="minorHAnsi"/>
                <w:sz w:val="24"/>
                <w:szCs w:val="24"/>
              </w:rPr>
              <w:br/>
              <w:t xml:space="preserve">- </w:t>
            </w:r>
            <w:r w:rsidR="004B760B" w:rsidRPr="004B760B">
              <w:rPr>
                <w:rFonts w:asciiTheme="minorHAnsi" w:eastAsia="新細明體" w:hAnsiTheme="minorHAnsi" w:cstheme="minorHAnsi"/>
                <w:sz w:val="24"/>
                <w:szCs w:val="24"/>
              </w:rPr>
              <w:t>Establish a Responsible Supply Chain</w:t>
            </w:r>
          </w:p>
        </w:tc>
        <w:tc>
          <w:tcPr>
            <w:tcW w:w="0" w:type="auto"/>
            <w:vAlign w:val="center"/>
            <w:hideMark/>
          </w:tcPr>
          <w:p w14:paraId="104672F9"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Supplier Information Platform: Annually</w:t>
            </w:r>
            <w:r w:rsidRPr="00B057F3">
              <w:rPr>
                <w:rFonts w:asciiTheme="minorHAnsi" w:eastAsia="新細明體" w:hAnsiTheme="minorHAnsi" w:cstheme="minorHAnsi"/>
                <w:sz w:val="24"/>
                <w:szCs w:val="24"/>
              </w:rPr>
              <w:br/>
              <w:t>- Supplier Audits: Annually</w:t>
            </w:r>
            <w:r w:rsidRPr="00B057F3">
              <w:rPr>
                <w:rFonts w:asciiTheme="minorHAnsi" w:eastAsia="新細明體" w:hAnsiTheme="minorHAnsi" w:cstheme="minorHAnsi"/>
                <w:sz w:val="24"/>
                <w:szCs w:val="24"/>
              </w:rPr>
              <w:br/>
              <w:t>- Interviews and Meetings: Annually</w:t>
            </w:r>
            <w:r w:rsidRPr="00B057F3">
              <w:rPr>
                <w:rFonts w:asciiTheme="minorHAnsi" w:eastAsia="新細明體" w:hAnsiTheme="minorHAnsi" w:cstheme="minorHAnsi"/>
                <w:sz w:val="24"/>
                <w:szCs w:val="24"/>
              </w:rPr>
              <w:br/>
              <w:t>- Business Ethics Code Promotion: As Needed</w:t>
            </w:r>
          </w:p>
        </w:tc>
        <w:tc>
          <w:tcPr>
            <w:tcW w:w="0" w:type="auto"/>
            <w:vAlign w:val="center"/>
            <w:hideMark/>
          </w:tcPr>
          <w:p w14:paraId="79B56E3B"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Continued investment in R&amp;D and improved patent applications.</w:t>
            </w:r>
            <w:r w:rsidRPr="00B057F3">
              <w:rPr>
                <w:rFonts w:asciiTheme="minorHAnsi" w:eastAsia="新細明體" w:hAnsiTheme="minorHAnsi" w:cstheme="minorHAnsi"/>
                <w:sz w:val="24"/>
                <w:szCs w:val="24"/>
              </w:rPr>
              <w:br/>
              <w:t>- No incidents of customer privacy violations or data leaks.</w:t>
            </w:r>
            <w:r w:rsidRPr="00B057F3">
              <w:rPr>
                <w:rFonts w:asciiTheme="minorHAnsi" w:eastAsia="新細明體" w:hAnsiTheme="minorHAnsi" w:cstheme="minorHAnsi"/>
                <w:sz w:val="24"/>
                <w:szCs w:val="24"/>
              </w:rPr>
              <w:br/>
              <w:t>- ISO 9001 certification maintained and awarded Sony's green product certification.</w:t>
            </w:r>
            <w:r w:rsidRPr="00B057F3">
              <w:rPr>
                <w:rFonts w:asciiTheme="minorHAnsi" w:eastAsia="新細明體" w:hAnsiTheme="minorHAnsi" w:cstheme="minorHAnsi"/>
                <w:sz w:val="24"/>
                <w:szCs w:val="24"/>
              </w:rPr>
              <w:br/>
              <w:t>- Suppliers must sign declarations or codes regarding conflict minerals, business ethics, and adherence to RBA standards.</w:t>
            </w:r>
          </w:p>
        </w:tc>
      </w:tr>
      <w:tr w:rsidR="00B057F3" w:rsidRPr="00B057F3" w14:paraId="029CA3F2" w14:textId="77777777" w:rsidTr="00B057F3">
        <w:trPr>
          <w:tblCellSpacing w:w="15" w:type="dxa"/>
        </w:trPr>
        <w:tc>
          <w:tcPr>
            <w:tcW w:w="0" w:type="auto"/>
            <w:vAlign w:val="center"/>
            <w:hideMark/>
          </w:tcPr>
          <w:p w14:paraId="40DBF83D"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b/>
                <w:bCs/>
                <w:sz w:val="24"/>
                <w:szCs w:val="24"/>
              </w:rPr>
              <w:t>Government, Academia, and Research</w:t>
            </w:r>
          </w:p>
        </w:tc>
        <w:tc>
          <w:tcPr>
            <w:tcW w:w="0" w:type="auto"/>
            <w:vAlign w:val="center"/>
            <w:hideMark/>
          </w:tcPr>
          <w:p w14:paraId="51CF19D2" w14:textId="5278D10A"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xml:space="preserve">- </w:t>
            </w:r>
            <w:r w:rsidR="004B760B" w:rsidRPr="004B760B">
              <w:rPr>
                <w:rFonts w:asciiTheme="minorHAnsi" w:eastAsia="新細明體" w:hAnsiTheme="minorHAnsi" w:cstheme="minorHAnsi"/>
                <w:sz w:val="24"/>
                <w:szCs w:val="24"/>
              </w:rPr>
              <w:t>Corporate Training</w:t>
            </w:r>
            <w:r w:rsidRPr="00B057F3">
              <w:rPr>
                <w:rFonts w:asciiTheme="minorHAnsi" w:eastAsia="新細明體" w:hAnsiTheme="minorHAnsi" w:cstheme="minorHAnsi"/>
                <w:sz w:val="24"/>
                <w:szCs w:val="24"/>
              </w:rPr>
              <w:br/>
              <w:t>- R&amp;D and Innovation</w:t>
            </w:r>
            <w:r w:rsidRPr="00B057F3">
              <w:rPr>
                <w:rFonts w:asciiTheme="minorHAnsi" w:eastAsia="新細明體" w:hAnsiTheme="minorHAnsi" w:cstheme="minorHAnsi"/>
                <w:sz w:val="24"/>
                <w:szCs w:val="24"/>
              </w:rPr>
              <w:br/>
              <w:t xml:space="preserve">- </w:t>
            </w:r>
            <w:r w:rsidR="004B760B" w:rsidRPr="004B760B">
              <w:rPr>
                <w:rFonts w:asciiTheme="minorHAnsi" w:eastAsia="新細明體" w:hAnsiTheme="minorHAnsi" w:cstheme="minorHAnsi"/>
                <w:sz w:val="24"/>
                <w:szCs w:val="24"/>
              </w:rPr>
              <w:t>Social Participation</w:t>
            </w:r>
            <w:r w:rsidRPr="00B057F3">
              <w:rPr>
                <w:rFonts w:asciiTheme="minorHAnsi" w:eastAsia="新細明體" w:hAnsiTheme="minorHAnsi" w:cstheme="minorHAnsi"/>
                <w:sz w:val="24"/>
                <w:szCs w:val="24"/>
              </w:rPr>
              <w:br/>
              <w:t xml:space="preserve">- </w:t>
            </w:r>
            <w:r w:rsidR="004B760B" w:rsidRPr="00A44014">
              <w:rPr>
                <w:rFonts w:asciiTheme="minorHAnsi" w:eastAsia="新細明體" w:hAnsiTheme="minorHAnsi" w:cstheme="minorHAnsi"/>
                <w:sz w:val="24"/>
                <w:szCs w:val="24"/>
              </w:rPr>
              <w:t xml:space="preserve">Customer </w:t>
            </w:r>
            <w:r w:rsidR="004B760B" w:rsidRPr="00A44014">
              <w:rPr>
                <w:rFonts w:asciiTheme="minorHAnsi" w:eastAsia="新細明體" w:hAnsiTheme="minorHAnsi" w:cstheme="minorHAnsi"/>
                <w:sz w:val="24"/>
                <w:szCs w:val="24"/>
              </w:rPr>
              <w:lastRenderedPageBreak/>
              <w:t>Relationship Management</w:t>
            </w:r>
          </w:p>
        </w:tc>
        <w:tc>
          <w:tcPr>
            <w:tcW w:w="0" w:type="auto"/>
            <w:vAlign w:val="center"/>
            <w:hideMark/>
          </w:tcPr>
          <w:p w14:paraId="111E6914"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lastRenderedPageBreak/>
              <w:t>- Company Financial Reports: Annually</w:t>
            </w:r>
            <w:r w:rsidRPr="00B057F3">
              <w:rPr>
                <w:rFonts w:asciiTheme="minorHAnsi" w:eastAsia="新細明體" w:hAnsiTheme="minorHAnsi" w:cstheme="minorHAnsi"/>
                <w:sz w:val="24"/>
                <w:szCs w:val="24"/>
              </w:rPr>
              <w:br/>
              <w:t>- Campus Recruitment Fairs: 15 sessions; 17 campus-specific lectures held; 29 interns from domestic and international universities.</w:t>
            </w:r>
            <w:r w:rsidRPr="00B057F3">
              <w:rPr>
                <w:rFonts w:asciiTheme="minorHAnsi" w:eastAsia="新細明體" w:hAnsiTheme="minorHAnsi" w:cstheme="minorHAnsi"/>
                <w:sz w:val="24"/>
                <w:szCs w:val="24"/>
              </w:rPr>
              <w:br/>
            </w:r>
            <w:r w:rsidRPr="00B057F3">
              <w:rPr>
                <w:rFonts w:asciiTheme="minorHAnsi" w:eastAsia="新細明體" w:hAnsiTheme="minorHAnsi" w:cstheme="minorHAnsi"/>
                <w:sz w:val="24"/>
                <w:szCs w:val="24"/>
              </w:rPr>
              <w:lastRenderedPageBreak/>
              <w:t>- Ongoing collaboration with universities for industry-academia partnerships.</w:t>
            </w:r>
            <w:r w:rsidRPr="00B057F3">
              <w:rPr>
                <w:rFonts w:asciiTheme="minorHAnsi" w:eastAsia="新細明體" w:hAnsiTheme="minorHAnsi" w:cstheme="minorHAnsi"/>
                <w:sz w:val="24"/>
                <w:szCs w:val="24"/>
              </w:rPr>
              <w:br/>
              <w:t>- Compliance with regulations and timely feedback through communication channels.</w:t>
            </w:r>
          </w:p>
        </w:tc>
        <w:tc>
          <w:tcPr>
            <w:tcW w:w="0" w:type="auto"/>
            <w:vAlign w:val="center"/>
            <w:hideMark/>
          </w:tcPr>
          <w:p w14:paraId="56B1EB4C"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lastRenderedPageBreak/>
              <w:t>- Launched LINE official account to engage with university students.</w:t>
            </w:r>
            <w:r w:rsidRPr="00B057F3">
              <w:rPr>
                <w:rFonts w:asciiTheme="minorHAnsi" w:eastAsia="新細明體" w:hAnsiTheme="minorHAnsi" w:cstheme="minorHAnsi"/>
                <w:sz w:val="24"/>
                <w:szCs w:val="24"/>
              </w:rPr>
              <w:br/>
              <w:t xml:space="preserve">- Continued collaboration with universities on industry-academia projects and AI-related </w:t>
            </w:r>
            <w:r w:rsidRPr="00B057F3">
              <w:rPr>
                <w:rFonts w:asciiTheme="minorHAnsi" w:eastAsia="新細明體" w:hAnsiTheme="minorHAnsi" w:cstheme="minorHAnsi"/>
                <w:sz w:val="24"/>
                <w:szCs w:val="24"/>
              </w:rPr>
              <w:lastRenderedPageBreak/>
              <w:t>technologies.</w:t>
            </w:r>
            <w:r w:rsidRPr="00B057F3">
              <w:rPr>
                <w:rFonts w:asciiTheme="minorHAnsi" w:eastAsia="新細明體" w:hAnsiTheme="minorHAnsi" w:cstheme="minorHAnsi"/>
                <w:sz w:val="24"/>
                <w:szCs w:val="24"/>
              </w:rPr>
              <w:br/>
              <w:t>- Ongoing monitoring of laws and regulations and internal systems for compliance.</w:t>
            </w:r>
          </w:p>
        </w:tc>
      </w:tr>
      <w:tr w:rsidR="00B057F3" w:rsidRPr="00B057F3" w14:paraId="5ACA5E8C" w14:textId="77777777" w:rsidTr="00B057F3">
        <w:trPr>
          <w:tblCellSpacing w:w="15" w:type="dxa"/>
        </w:trPr>
        <w:tc>
          <w:tcPr>
            <w:tcW w:w="0" w:type="auto"/>
            <w:vAlign w:val="center"/>
            <w:hideMark/>
          </w:tcPr>
          <w:p w14:paraId="4E4A2C84"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b/>
                <w:bCs/>
                <w:sz w:val="24"/>
                <w:szCs w:val="24"/>
              </w:rPr>
              <w:lastRenderedPageBreak/>
              <w:t>Society</w:t>
            </w:r>
          </w:p>
        </w:tc>
        <w:tc>
          <w:tcPr>
            <w:tcW w:w="0" w:type="auto"/>
            <w:vAlign w:val="center"/>
            <w:hideMark/>
          </w:tcPr>
          <w:p w14:paraId="0E9AA73D" w14:textId="0F047FA2"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Labor Rights</w:t>
            </w:r>
            <w:r w:rsidRPr="00B057F3">
              <w:rPr>
                <w:rFonts w:asciiTheme="minorHAnsi" w:eastAsia="新細明體" w:hAnsiTheme="minorHAnsi" w:cstheme="minorHAnsi"/>
                <w:sz w:val="24"/>
                <w:szCs w:val="24"/>
              </w:rPr>
              <w:br/>
              <w:t xml:space="preserve">- </w:t>
            </w:r>
            <w:r w:rsidR="004B760B" w:rsidRPr="004B760B">
              <w:rPr>
                <w:rFonts w:asciiTheme="minorHAnsi" w:eastAsia="新細明體" w:hAnsiTheme="minorHAnsi" w:cstheme="minorHAnsi"/>
                <w:sz w:val="24"/>
                <w:szCs w:val="24"/>
              </w:rPr>
              <w:t>Talent Recruitment and Retention</w:t>
            </w:r>
            <w:r w:rsidRPr="00B057F3">
              <w:rPr>
                <w:rFonts w:asciiTheme="minorHAnsi" w:eastAsia="新細明體" w:hAnsiTheme="minorHAnsi" w:cstheme="minorHAnsi"/>
                <w:sz w:val="24"/>
                <w:szCs w:val="24"/>
              </w:rPr>
              <w:br/>
              <w:t>- Occupational Safety and Health</w:t>
            </w:r>
            <w:r w:rsidRPr="00B057F3">
              <w:rPr>
                <w:rFonts w:asciiTheme="minorHAnsi" w:eastAsia="新細明體" w:hAnsiTheme="minorHAnsi" w:cstheme="minorHAnsi"/>
                <w:sz w:val="24"/>
                <w:szCs w:val="24"/>
              </w:rPr>
              <w:br/>
              <w:t>- Information Security and Privacy Protection</w:t>
            </w:r>
            <w:r w:rsidRPr="00B057F3">
              <w:rPr>
                <w:rFonts w:asciiTheme="minorHAnsi" w:eastAsia="新細明體" w:hAnsiTheme="minorHAnsi" w:cstheme="minorHAnsi"/>
                <w:sz w:val="24"/>
                <w:szCs w:val="24"/>
              </w:rPr>
              <w:br/>
              <w:t xml:space="preserve">- </w:t>
            </w:r>
            <w:r w:rsidR="004B760B" w:rsidRPr="004B760B">
              <w:rPr>
                <w:rFonts w:asciiTheme="minorHAnsi" w:eastAsia="新細明體" w:hAnsiTheme="minorHAnsi" w:cstheme="minorHAnsi"/>
                <w:sz w:val="24"/>
                <w:szCs w:val="24"/>
              </w:rPr>
              <w:t>Code of Conduct</w:t>
            </w:r>
            <w:r w:rsidRPr="00B057F3">
              <w:rPr>
                <w:rFonts w:asciiTheme="minorHAnsi" w:eastAsia="新細明體" w:hAnsiTheme="minorHAnsi" w:cstheme="minorHAnsi"/>
                <w:sz w:val="24"/>
                <w:szCs w:val="24"/>
              </w:rPr>
              <w:br/>
              <w:t xml:space="preserve">- </w:t>
            </w:r>
            <w:r w:rsidR="004B760B" w:rsidRPr="00A44014">
              <w:rPr>
                <w:rFonts w:asciiTheme="minorHAnsi" w:eastAsia="新細明體" w:hAnsiTheme="minorHAnsi" w:cstheme="minorHAnsi"/>
                <w:sz w:val="24"/>
                <w:szCs w:val="24"/>
              </w:rPr>
              <w:t>Customer Relationship Management</w:t>
            </w:r>
          </w:p>
        </w:tc>
        <w:tc>
          <w:tcPr>
            <w:tcW w:w="0" w:type="auto"/>
            <w:vAlign w:val="center"/>
            <w:hideMark/>
          </w:tcPr>
          <w:p w14:paraId="5E0E8D20"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Revenue Report: Monthly</w:t>
            </w:r>
            <w:r w:rsidRPr="00B057F3">
              <w:rPr>
                <w:rFonts w:asciiTheme="minorHAnsi" w:eastAsia="新細明體" w:hAnsiTheme="minorHAnsi" w:cstheme="minorHAnsi"/>
                <w:sz w:val="24"/>
                <w:szCs w:val="24"/>
              </w:rPr>
              <w:br/>
              <w:t>- Company Financial/Operational Reports: Quarterly</w:t>
            </w:r>
            <w:r w:rsidRPr="00B057F3">
              <w:rPr>
                <w:rFonts w:asciiTheme="minorHAnsi" w:eastAsia="新細明體" w:hAnsiTheme="minorHAnsi" w:cstheme="minorHAnsi"/>
                <w:sz w:val="24"/>
                <w:szCs w:val="24"/>
              </w:rPr>
              <w:br/>
              <w:t>- Sustainability Report: Annually</w:t>
            </w:r>
            <w:r w:rsidRPr="00B057F3">
              <w:rPr>
                <w:rFonts w:asciiTheme="minorHAnsi" w:eastAsia="新細明體" w:hAnsiTheme="minorHAnsi" w:cstheme="minorHAnsi"/>
                <w:sz w:val="24"/>
                <w:szCs w:val="24"/>
              </w:rPr>
              <w:br/>
              <w:t>- Other Public Media Activities: As Needed</w:t>
            </w:r>
            <w:r w:rsidRPr="00B057F3">
              <w:rPr>
                <w:rFonts w:asciiTheme="minorHAnsi" w:eastAsia="新細明體" w:hAnsiTheme="minorHAnsi" w:cstheme="minorHAnsi"/>
                <w:sz w:val="24"/>
                <w:szCs w:val="24"/>
              </w:rPr>
              <w:br/>
              <w:t>- Official Website &amp; Email: As Needed</w:t>
            </w:r>
            <w:r w:rsidRPr="00B057F3">
              <w:rPr>
                <w:rFonts w:asciiTheme="minorHAnsi" w:eastAsia="新細明體" w:hAnsiTheme="minorHAnsi" w:cstheme="minorHAnsi"/>
                <w:sz w:val="24"/>
                <w:szCs w:val="24"/>
              </w:rPr>
              <w:br/>
              <w:t>- Participation in Charity and Disaster Relief: As Needed</w:t>
            </w:r>
          </w:p>
        </w:tc>
        <w:tc>
          <w:tcPr>
            <w:tcW w:w="0" w:type="auto"/>
            <w:vAlign w:val="center"/>
            <w:hideMark/>
          </w:tcPr>
          <w:p w14:paraId="6F48E6C7" w14:textId="77777777" w:rsidR="00B057F3" w:rsidRPr="00B057F3" w:rsidRDefault="00B057F3" w:rsidP="00B057F3">
            <w:pPr>
              <w:rPr>
                <w:rFonts w:asciiTheme="minorHAnsi" w:eastAsia="新細明體" w:hAnsiTheme="minorHAnsi" w:cstheme="minorHAnsi"/>
                <w:sz w:val="24"/>
                <w:szCs w:val="24"/>
              </w:rPr>
            </w:pPr>
            <w:r w:rsidRPr="00B057F3">
              <w:rPr>
                <w:rFonts w:asciiTheme="minorHAnsi" w:eastAsia="新細明體" w:hAnsiTheme="minorHAnsi" w:cstheme="minorHAnsi"/>
                <w:sz w:val="24"/>
                <w:szCs w:val="24"/>
              </w:rPr>
              <w:t>- Focus on employee development, training, and benefits.</w:t>
            </w:r>
            <w:r w:rsidRPr="00B057F3">
              <w:rPr>
                <w:rFonts w:asciiTheme="minorHAnsi" w:eastAsia="新細明體" w:hAnsiTheme="minorHAnsi" w:cstheme="minorHAnsi"/>
                <w:sz w:val="24"/>
                <w:szCs w:val="24"/>
              </w:rPr>
              <w:br/>
              <w:t>- Participation in environmental volunteer activities such as habitat maintenance and beach cleaning.</w:t>
            </w:r>
            <w:r w:rsidRPr="00B057F3">
              <w:rPr>
                <w:rFonts w:asciiTheme="minorHAnsi" w:eastAsia="新細明體" w:hAnsiTheme="minorHAnsi" w:cstheme="minorHAnsi"/>
                <w:sz w:val="24"/>
                <w:szCs w:val="24"/>
              </w:rPr>
              <w:br/>
              <w:t>- Compliance with ISO 45001 health and safety certification.</w:t>
            </w:r>
            <w:r w:rsidRPr="00B057F3">
              <w:rPr>
                <w:rFonts w:asciiTheme="minorHAnsi" w:eastAsia="新細明體" w:hAnsiTheme="minorHAnsi" w:cstheme="minorHAnsi"/>
                <w:sz w:val="24"/>
                <w:szCs w:val="24"/>
              </w:rPr>
              <w:br/>
              <w:t>- Regular participation in social and environmental volunteer events.</w:t>
            </w:r>
          </w:p>
        </w:tc>
      </w:tr>
    </w:tbl>
    <w:p w14:paraId="2D02318B" w14:textId="4833750A" w:rsidR="00B057F3" w:rsidRPr="00B057F3" w:rsidRDefault="00B057F3" w:rsidP="005C2DF3">
      <w:pPr>
        <w:rPr>
          <w:rFonts w:asciiTheme="minorHAnsi" w:eastAsia="微軟正黑體" w:hAnsiTheme="minorHAnsi" w:cstheme="minorHAnsi"/>
          <w:bCs/>
          <w:sz w:val="24"/>
        </w:rPr>
      </w:pPr>
    </w:p>
    <w:p w14:paraId="791DEEC6" w14:textId="0C5E2296" w:rsidR="00B057F3" w:rsidRDefault="00B057F3" w:rsidP="005C2DF3">
      <w:pPr>
        <w:rPr>
          <w:rFonts w:asciiTheme="minorHAnsi" w:eastAsia="微軟正黑體" w:hAnsiTheme="minorHAnsi" w:cstheme="minorHAnsi"/>
          <w:bCs/>
          <w:sz w:val="24"/>
        </w:rPr>
      </w:pPr>
      <w:bookmarkStart w:id="0" w:name="_GoBack"/>
      <w:bookmarkEnd w:id="0"/>
    </w:p>
    <w:sectPr w:rsidR="00B057F3" w:rsidSect="00F226A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08365" w14:textId="77777777" w:rsidR="00F16A4E" w:rsidRDefault="00F16A4E" w:rsidP="00F16A4E">
      <w:r>
        <w:separator/>
      </w:r>
    </w:p>
  </w:endnote>
  <w:endnote w:type="continuationSeparator" w:id="0">
    <w:p w14:paraId="17F99E1B" w14:textId="77777777" w:rsidR="00F16A4E" w:rsidRDefault="00F16A4E" w:rsidP="00F1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03550" w14:textId="77777777" w:rsidR="00F16A4E" w:rsidRDefault="00F16A4E" w:rsidP="00F16A4E">
      <w:r>
        <w:separator/>
      </w:r>
    </w:p>
  </w:footnote>
  <w:footnote w:type="continuationSeparator" w:id="0">
    <w:p w14:paraId="01F379BA" w14:textId="77777777" w:rsidR="00F16A4E" w:rsidRDefault="00F16A4E" w:rsidP="00F16A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5A55"/>
    <w:multiLevelType w:val="hybridMultilevel"/>
    <w:tmpl w:val="5554E1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DE06CA"/>
    <w:multiLevelType w:val="hybridMultilevel"/>
    <w:tmpl w:val="32D6B3E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90B219B"/>
    <w:multiLevelType w:val="hybridMultilevel"/>
    <w:tmpl w:val="C284D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650819"/>
    <w:multiLevelType w:val="hybridMultilevel"/>
    <w:tmpl w:val="9640B3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CF1C7A"/>
    <w:multiLevelType w:val="hybridMultilevel"/>
    <w:tmpl w:val="7A6CDD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AB53C2D"/>
    <w:multiLevelType w:val="hybridMultilevel"/>
    <w:tmpl w:val="A8FA20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45B6D8A"/>
    <w:multiLevelType w:val="hybridMultilevel"/>
    <w:tmpl w:val="265854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D4E62C2"/>
    <w:multiLevelType w:val="hybridMultilevel"/>
    <w:tmpl w:val="B90EC9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6"/>
  </w:num>
  <w:num w:numId="3">
    <w:abstractNumId w:val="7"/>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9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5D"/>
    <w:rsid w:val="0002725F"/>
    <w:rsid w:val="000C6AC6"/>
    <w:rsid w:val="00291A5D"/>
    <w:rsid w:val="004B760B"/>
    <w:rsid w:val="00533596"/>
    <w:rsid w:val="00583FDE"/>
    <w:rsid w:val="005C2DF3"/>
    <w:rsid w:val="005F5CF6"/>
    <w:rsid w:val="00775332"/>
    <w:rsid w:val="008E750A"/>
    <w:rsid w:val="00A0438D"/>
    <w:rsid w:val="00A44014"/>
    <w:rsid w:val="00A8555B"/>
    <w:rsid w:val="00B057F3"/>
    <w:rsid w:val="00D03DE1"/>
    <w:rsid w:val="00F16A4E"/>
    <w:rsid w:val="00F226AE"/>
    <w:rsid w:val="00FD41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A867F"/>
  <w15:chartTrackingRefBased/>
  <w15:docId w15:val="{76B31C08-2E94-4614-88D1-CEE46CBE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16A4E"/>
    <w:rPr>
      <w:rFonts w:ascii="Arial" w:hAnsi="Arial" w:cs="Arial"/>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A4E"/>
    <w:pPr>
      <w:tabs>
        <w:tab w:val="center" w:pos="4153"/>
        <w:tab w:val="right" w:pos="8306"/>
      </w:tabs>
      <w:snapToGrid w:val="0"/>
    </w:pPr>
    <w:rPr>
      <w:sz w:val="20"/>
      <w:szCs w:val="20"/>
    </w:rPr>
  </w:style>
  <w:style w:type="character" w:customStyle="1" w:styleId="a4">
    <w:name w:val="頁首 字元"/>
    <w:basedOn w:val="a0"/>
    <w:link w:val="a3"/>
    <w:uiPriority w:val="99"/>
    <w:rsid w:val="00F16A4E"/>
    <w:rPr>
      <w:sz w:val="20"/>
      <w:szCs w:val="20"/>
    </w:rPr>
  </w:style>
  <w:style w:type="paragraph" w:styleId="a5">
    <w:name w:val="footer"/>
    <w:basedOn w:val="a"/>
    <w:link w:val="a6"/>
    <w:uiPriority w:val="99"/>
    <w:unhideWhenUsed/>
    <w:rsid w:val="00F16A4E"/>
    <w:pPr>
      <w:tabs>
        <w:tab w:val="center" w:pos="4153"/>
        <w:tab w:val="right" w:pos="8306"/>
      </w:tabs>
      <w:snapToGrid w:val="0"/>
    </w:pPr>
    <w:rPr>
      <w:sz w:val="20"/>
      <w:szCs w:val="20"/>
    </w:rPr>
  </w:style>
  <w:style w:type="character" w:customStyle="1" w:styleId="a6">
    <w:name w:val="頁尾 字元"/>
    <w:basedOn w:val="a0"/>
    <w:link w:val="a5"/>
    <w:uiPriority w:val="99"/>
    <w:rsid w:val="00F16A4E"/>
    <w:rPr>
      <w:sz w:val="20"/>
      <w:szCs w:val="20"/>
    </w:rPr>
  </w:style>
  <w:style w:type="paragraph" w:styleId="a7">
    <w:name w:val="annotation text"/>
    <w:basedOn w:val="a"/>
    <w:link w:val="a8"/>
    <w:uiPriority w:val="99"/>
    <w:semiHidden/>
    <w:unhideWhenUsed/>
    <w:rsid w:val="00F16A4E"/>
  </w:style>
  <w:style w:type="character" w:customStyle="1" w:styleId="a8">
    <w:name w:val="註解文字 字元"/>
    <w:basedOn w:val="a0"/>
    <w:link w:val="a7"/>
    <w:uiPriority w:val="99"/>
    <w:semiHidden/>
    <w:rsid w:val="00F16A4E"/>
    <w:rPr>
      <w:rFonts w:ascii="Arial" w:hAnsi="Arial" w:cs="Arial"/>
      <w:kern w:val="0"/>
      <w:sz w:val="18"/>
      <w:szCs w:val="18"/>
    </w:rPr>
  </w:style>
  <w:style w:type="character" w:styleId="a9">
    <w:name w:val="annotation reference"/>
    <w:basedOn w:val="a0"/>
    <w:uiPriority w:val="99"/>
    <w:semiHidden/>
    <w:unhideWhenUsed/>
    <w:rsid w:val="00F16A4E"/>
    <w:rPr>
      <w:sz w:val="18"/>
      <w:szCs w:val="18"/>
    </w:rPr>
  </w:style>
  <w:style w:type="paragraph" w:styleId="aa">
    <w:name w:val="List Paragraph"/>
    <w:basedOn w:val="a"/>
    <w:uiPriority w:val="34"/>
    <w:qFormat/>
    <w:rsid w:val="00F16A4E"/>
    <w:pPr>
      <w:ind w:leftChars="200" w:left="480"/>
    </w:pPr>
  </w:style>
  <w:style w:type="paragraph" w:styleId="ab">
    <w:name w:val="Balloon Text"/>
    <w:basedOn w:val="a"/>
    <w:link w:val="ac"/>
    <w:uiPriority w:val="99"/>
    <w:semiHidden/>
    <w:unhideWhenUsed/>
    <w:rsid w:val="00F16A4E"/>
    <w:rPr>
      <w:rFonts w:asciiTheme="majorHAnsi" w:eastAsiaTheme="majorEastAsia" w:hAnsiTheme="majorHAnsi" w:cstheme="majorBidi"/>
    </w:rPr>
  </w:style>
  <w:style w:type="character" w:customStyle="1" w:styleId="ac">
    <w:name w:val="註解方塊文字 字元"/>
    <w:basedOn w:val="a0"/>
    <w:link w:val="ab"/>
    <w:uiPriority w:val="99"/>
    <w:semiHidden/>
    <w:rsid w:val="00F16A4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0228">
      <w:bodyDiv w:val="1"/>
      <w:marLeft w:val="0"/>
      <w:marRight w:val="0"/>
      <w:marTop w:val="0"/>
      <w:marBottom w:val="0"/>
      <w:divBdr>
        <w:top w:val="none" w:sz="0" w:space="0" w:color="auto"/>
        <w:left w:val="none" w:sz="0" w:space="0" w:color="auto"/>
        <w:bottom w:val="none" w:sz="0" w:space="0" w:color="auto"/>
        <w:right w:val="none" w:sz="0" w:space="0" w:color="auto"/>
      </w:divBdr>
    </w:div>
    <w:div w:id="76974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762</Words>
  <Characters>4345</Characters>
  <Application>Microsoft Office Word</Application>
  <DocSecurity>0</DocSecurity>
  <Lines>36</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elena.chiu@W10V06-110</dc:creator>
  <cp:keywords/>
  <dc:description/>
  <cp:lastModifiedBy>elena.chiu@W10V06-110</cp:lastModifiedBy>
  <cp:revision>17</cp:revision>
  <dcterms:created xsi:type="dcterms:W3CDTF">2025-01-02T08:44:00Z</dcterms:created>
  <dcterms:modified xsi:type="dcterms:W3CDTF">2025-04-11T06:16:00Z</dcterms:modified>
</cp:coreProperties>
</file>