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9DFC" w14:textId="6E52F59C" w:rsidR="008D4C6A" w:rsidRDefault="008D4C6A">
      <w:r w:rsidRPr="008D4C6A">
        <w:rPr>
          <w:b/>
          <w:bCs/>
          <w:sz w:val="28"/>
          <w:szCs w:val="24"/>
        </w:rPr>
        <w:t>IP Right Management</w:t>
      </w:r>
      <w:r>
        <w:rPr>
          <w:rFonts w:hint="eastAsia"/>
          <w:b/>
          <w:bCs/>
          <w:sz w:val="28"/>
          <w:szCs w:val="24"/>
        </w:rPr>
        <w:t xml:space="preserve"> / </w:t>
      </w:r>
      <w:r w:rsidRPr="008D4C6A">
        <w:rPr>
          <w:b/>
          <w:bCs/>
          <w:sz w:val="28"/>
          <w:szCs w:val="24"/>
        </w:rPr>
        <w:t>智慧財產權管理</w:t>
      </w:r>
      <w:r>
        <w:rPr>
          <w:rFonts w:hint="eastAsia"/>
          <w:b/>
          <w:bCs/>
          <w:sz w:val="28"/>
          <w:szCs w:val="24"/>
        </w:rPr>
        <w:t xml:space="preserve"> / </w:t>
      </w:r>
      <w:r w:rsidRPr="008D4C6A">
        <w:rPr>
          <w:b/>
          <w:bCs/>
          <w:sz w:val="28"/>
          <w:szCs w:val="24"/>
        </w:rPr>
        <w:t>知识产权管理</w:t>
      </w:r>
    </w:p>
    <w:tbl>
      <w:tblPr>
        <w:tblStyle w:val="a3"/>
        <w:tblW w:w="0" w:type="auto"/>
        <w:tblLook w:val="04A0" w:firstRow="1" w:lastRow="0" w:firstColumn="1" w:lastColumn="0" w:noHBand="0" w:noVBand="1"/>
      </w:tblPr>
      <w:tblGrid>
        <w:gridCol w:w="8296"/>
      </w:tblGrid>
      <w:tr w:rsidR="008D4C6A" w:rsidRPr="008D4C6A" w14:paraId="4F6C972D" w14:textId="77777777" w:rsidTr="008D4C6A">
        <w:tc>
          <w:tcPr>
            <w:tcW w:w="8296" w:type="dxa"/>
            <w:shd w:val="clear" w:color="auto" w:fill="DEEAF6" w:themeFill="accent5" w:themeFillTint="33"/>
          </w:tcPr>
          <w:p w14:paraId="679EBAAE" w14:textId="77777777" w:rsidR="008D4C6A" w:rsidRPr="008D4C6A" w:rsidRDefault="008D4C6A" w:rsidP="0068359C">
            <w:pPr>
              <w:rPr>
                <w:rFonts w:hint="eastAsia"/>
                <w:b/>
                <w:bCs/>
                <w:sz w:val="28"/>
                <w:szCs w:val="24"/>
              </w:rPr>
            </w:pPr>
            <w:r w:rsidRPr="008D4C6A">
              <w:rPr>
                <w:b/>
                <w:bCs/>
                <w:sz w:val="28"/>
                <w:szCs w:val="24"/>
              </w:rPr>
              <w:t>IP Right Management</w:t>
            </w:r>
          </w:p>
        </w:tc>
      </w:tr>
      <w:tr w:rsidR="008D4C6A" w14:paraId="13611F65" w14:textId="77777777" w:rsidTr="008D4C6A">
        <w:tc>
          <w:tcPr>
            <w:tcW w:w="8296" w:type="dxa"/>
          </w:tcPr>
          <w:p w14:paraId="13F07DC1" w14:textId="77777777" w:rsidR="008D4C6A" w:rsidRPr="008D4C6A" w:rsidRDefault="008D4C6A" w:rsidP="0068359C">
            <w:r w:rsidRPr="008D4C6A">
              <w:t>GUC has established the following strategy by aligning the key objectives of business operation with protection of intellectual property rights. For the specific development of silicon intellectual property ("SIP") and advanced package technology("APT", patent engineers and R&amp;D personnel review the results of research and development to evaluate the feasibility of patent applications. GUC will actively apply for patents for those cases with patent portfolio value, and keep track of the progress. To strengthen GUC's competitiveness in specific areas, this approach is also valuable to patent the SIP project/IC product and eventually achieve the goal of protecting SIP project/IC product. The relevant management between patented intellectual property and SIP can also be used as the benchmark for evaluation of patented intellectual property as well. By the date of December 31, 2024, GUC has obtained 560 patents  in the world. The manager of the legal department reports to the board of directors meeting on the implementation of the intellectual property management plan at least once per year.</w:t>
            </w:r>
          </w:p>
          <w:p w14:paraId="0C1517E1" w14:textId="77777777" w:rsidR="008D4C6A" w:rsidRPr="008D4C6A" w:rsidRDefault="008D4C6A" w:rsidP="0068359C">
            <w:r w:rsidRPr="008D4C6A">
              <w:t> </w:t>
            </w:r>
          </w:p>
          <w:p w14:paraId="2041C026" w14:textId="77777777" w:rsidR="008D4C6A" w:rsidRPr="008D4C6A" w:rsidRDefault="008D4C6A" w:rsidP="0068359C">
            <w:r w:rsidRPr="008D4C6A">
              <w:t>Moreover, GUC has initiated the related management plans for intellectual property rights since 2000. The main achievements are illustrated as follows:</w:t>
            </w:r>
          </w:p>
          <w:p w14:paraId="15752821" w14:textId="77777777" w:rsidR="008D4C6A" w:rsidRPr="008D4C6A" w:rsidRDefault="008D4C6A" w:rsidP="0068359C">
            <w:r w:rsidRPr="008D4C6A">
              <w:t>"The Patent Application Procedure" was promulgated in 2000. The then-current version is 22th edition released on Aug 09, 2022. </w:t>
            </w:r>
          </w:p>
          <w:p w14:paraId="4A9147EA" w14:textId="77777777" w:rsidR="008D4C6A" w:rsidRPr="008D4C6A" w:rsidRDefault="008D4C6A" w:rsidP="0068359C">
            <w:r w:rsidRPr="008D4C6A">
              <w:t>"The Proprietary Information Protection Procedure" was established in 2003. The latest version was 10th edition released on May 26, 2021.</w:t>
            </w:r>
          </w:p>
          <w:p w14:paraId="4280B240" w14:textId="77777777" w:rsidR="008D4C6A" w:rsidRPr="008D4C6A" w:rsidRDefault="008D4C6A" w:rsidP="0068359C">
            <w:r w:rsidRPr="008D4C6A">
              <w:t>"The Trademark Management Regulation" was enacted in 2008. The latest version was 3rd edition released on May 23, 2012. </w:t>
            </w:r>
          </w:p>
          <w:p w14:paraId="5E431DB6" w14:textId="77777777" w:rsidR="008D4C6A" w:rsidRPr="008D4C6A" w:rsidRDefault="008D4C6A" w:rsidP="0068359C">
            <w:r w:rsidRPr="008D4C6A">
              <w:t>"The Proprietary Information Protection Policy" was published in 2012.</w:t>
            </w:r>
          </w:p>
          <w:p w14:paraId="4FD7AE80" w14:textId="77777777" w:rsidR="008D4C6A" w:rsidRPr="008D4C6A" w:rsidRDefault="008D4C6A" w:rsidP="0068359C">
            <w:r w:rsidRPr="008D4C6A">
              <w:t>In 2015, GUC's patent management on-line system ("System") was launched. It significantly improved the management of patent-related affairs, such as proposal management, application management, bonus management, contractor (i.e., external IP firm) management and comprehensively enhanced the efficiency of patent-related operations. Meanwhile, the System has recorded the complete internal technology and patent research/development results which cover the phases from patent proposal to submission of the said application.</w:t>
            </w:r>
          </w:p>
          <w:p w14:paraId="204E471C" w14:textId="77777777" w:rsidR="008D4C6A" w:rsidRPr="008D4C6A" w:rsidRDefault="008D4C6A" w:rsidP="0068359C">
            <w:r w:rsidRPr="008D4C6A">
              <w:t>"The Policy of Intellectual Property Rights Management" was formulated in 2016.</w:t>
            </w:r>
          </w:p>
          <w:p w14:paraId="760AB225" w14:textId="77777777" w:rsidR="008D4C6A" w:rsidRPr="008D4C6A" w:rsidRDefault="008D4C6A" w:rsidP="0068359C"/>
        </w:tc>
      </w:tr>
      <w:tr w:rsidR="008D4C6A" w14:paraId="216746B5" w14:textId="77777777" w:rsidTr="008D4C6A">
        <w:tc>
          <w:tcPr>
            <w:tcW w:w="8296" w:type="dxa"/>
            <w:shd w:val="clear" w:color="auto" w:fill="DEEAF6" w:themeFill="accent5" w:themeFillTint="33"/>
          </w:tcPr>
          <w:p w14:paraId="3D19CA00" w14:textId="5538C963" w:rsidR="008D4C6A" w:rsidRPr="008D4C6A" w:rsidRDefault="008D4C6A">
            <w:pPr>
              <w:rPr>
                <w:rFonts w:hint="eastAsia"/>
                <w:b/>
                <w:bCs/>
                <w:sz w:val="28"/>
                <w:szCs w:val="24"/>
              </w:rPr>
            </w:pPr>
            <w:r w:rsidRPr="008D4C6A">
              <w:rPr>
                <w:b/>
                <w:bCs/>
                <w:sz w:val="28"/>
                <w:szCs w:val="24"/>
              </w:rPr>
              <w:t>智慧財產權管理</w:t>
            </w:r>
          </w:p>
        </w:tc>
      </w:tr>
      <w:tr w:rsidR="008D4C6A" w14:paraId="155B3DD5" w14:textId="77777777" w:rsidTr="008D4C6A">
        <w:tc>
          <w:tcPr>
            <w:tcW w:w="8296" w:type="dxa"/>
          </w:tcPr>
          <w:p w14:paraId="0DE8D1A9" w14:textId="77777777" w:rsidR="008D4C6A" w:rsidRPr="008D4C6A" w:rsidRDefault="008D4C6A" w:rsidP="008D4C6A">
            <w:r w:rsidRPr="008D4C6A">
              <w:lastRenderedPageBreak/>
              <w:t>本公司採取結合營運發展重點目標與保護智慧財產權之策略，針對特定開發之矽智財</w:t>
            </w:r>
            <w:r w:rsidRPr="008D4C6A">
              <w:t>(SIP))=</w:t>
            </w:r>
            <w:r w:rsidRPr="008D4C6A">
              <w:t>與先進封裝技術</w:t>
            </w:r>
            <w:r w:rsidRPr="008D4C6A">
              <w:t>(APT)</w:t>
            </w:r>
            <w:r w:rsidRPr="008D4C6A">
              <w:t>，例如</w:t>
            </w:r>
            <w:r w:rsidRPr="008D4C6A">
              <w:t>CoWoS</w:t>
            </w:r>
            <w:r w:rsidRPr="008D4C6A">
              <w:t>、</w:t>
            </w:r>
            <w:r w:rsidRPr="008D4C6A">
              <w:t>HBM</w:t>
            </w:r>
            <w:r w:rsidRPr="008D4C6A">
              <w:t>與</w:t>
            </w:r>
            <w:r w:rsidRPr="008D4C6A">
              <w:t>G-Link</w:t>
            </w:r>
            <w:r w:rsidRPr="008D4C6A">
              <w:t>，由專利工程師會同相關研發人員檢視研發、設計過程及成果，以評估專利申請之可行性後，針對具有專利布局價值之個案積極進行專利申請，並持續追蹤相關提案進度。本公司針對特定開發之矽智財</w:t>
            </w:r>
            <w:r w:rsidRPr="008D4C6A">
              <w:t>(SIP)</w:t>
            </w:r>
            <w:r w:rsidRPr="008D4C6A">
              <w:t>已陸續進行專利布局，該作為除了強化本公司在特定領域之競爭優勢，並同時落實｢矽智財</w:t>
            </w:r>
            <w:r w:rsidRPr="008D4C6A">
              <w:t>(SIP)</w:t>
            </w:r>
            <w:r w:rsidRPr="008D4C6A">
              <w:t>專案</w:t>
            </w:r>
            <w:r w:rsidRPr="008D4C6A">
              <w:t>/IC</w:t>
            </w:r>
            <w:r w:rsidRPr="008D4C6A">
              <w:t>產品專利化｣，以達成｢專利保護矽智財</w:t>
            </w:r>
            <w:r w:rsidRPr="008D4C6A">
              <w:t>(SIP)</w:t>
            </w:r>
            <w:r w:rsidRPr="008D4C6A">
              <w:t>專案</w:t>
            </w:r>
            <w:r w:rsidRPr="008D4C6A">
              <w:t>/IC</w:t>
            </w:r>
            <w:r w:rsidRPr="008D4C6A">
              <w:t>產品｣之目標。同時，本公司定期的專利技術盤點可作為專利智財與矽智財</w:t>
            </w:r>
            <w:r w:rsidRPr="008D4C6A">
              <w:t>(SIP)</w:t>
            </w:r>
            <w:r w:rsidRPr="008D4C6A">
              <w:t>之關聯性管理以及本公司專利智財之價值評估依據。截至</w:t>
            </w:r>
            <w:r w:rsidRPr="008D4C6A">
              <w:t>2024</w:t>
            </w:r>
            <w:r w:rsidRPr="008D4C6A">
              <w:t>年</w:t>
            </w:r>
            <w:r w:rsidRPr="008D4C6A">
              <w:t>12</w:t>
            </w:r>
            <w:r w:rsidRPr="008D4C6A">
              <w:t>月</w:t>
            </w:r>
            <w:r w:rsidRPr="008D4C6A">
              <w:t>31</w:t>
            </w:r>
            <w:r w:rsidRPr="008D4C6A">
              <w:t>日止，本公司自成立以來獲得各國專利數量逾</w:t>
            </w:r>
            <w:r w:rsidRPr="008D4C6A">
              <w:t>560</w:t>
            </w:r>
            <w:r w:rsidRPr="008D4C6A">
              <w:t>件。法務主管每年至少一次向董事會報告智慧財產管理計畫執行情形。</w:t>
            </w:r>
          </w:p>
          <w:p w14:paraId="37C0022F" w14:textId="77777777" w:rsidR="008D4C6A" w:rsidRPr="008D4C6A" w:rsidRDefault="008D4C6A" w:rsidP="008D4C6A">
            <w:r w:rsidRPr="008D4C6A">
              <w:t> </w:t>
            </w:r>
          </w:p>
          <w:p w14:paraId="5C208AFB" w14:textId="77777777" w:rsidR="008D4C6A" w:rsidRPr="008D4C6A" w:rsidRDefault="008D4C6A" w:rsidP="008D4C6A">
            <w:r w:rsidRPr="008D4C6A">
              <w:t>另外，本公司自</w:t>
            </w:r>
            <w:r w:rsidRPr="008D4C6A">
              <w:t>2000</w:t>
            </w:r>
            <w:r w:rsidRPr="008D4C6A">
              <w:t>年起推動智慧財產權相關管理計畫，主要之執行情形如下：</w:t>
            </w:r>
            <w:r w:rsidRPr="008D4C6A">
              <w:br/>
            </w:r>
            <w:r w:rsidRPr="008D4C6A">
              <w:br/>
              <w:t>2000</w:t>
            </w:r>
            <w:r w:rsidRPr="008D4C6A">
              <w:t>年制定「專利提案申請程序」。</w:t>
            </w:r>
            <w:r w:rsidRPr="008D4C6A">
              <w:t xml:space="preserve">2022/8/9 </w:t>
            </w:r>
            <w:r w:rsidRPr="008D4C6A">
              <w:t>公布修訂第二十二版次。</w:t>
            </w:r>
            <w:r w:rsidRPr="008D4C6A">
              <w:br/>
              <w:t>2003</w:t>
            </w:r>
            <w:r w:rsidRPr="008D4C6A">
              <w:t>年制定「機密資訊管制程序」。</w:t>
            </w:r>
            <w:r w:rsidRPr="008D4C6A">
              <w:t xml:space="preserve">2021/5/26 </w:t>
            </w:r>
            <w:r w:rsidRPr="008D4C6A">
              <w:t>公布修訂第十版次。</w:t>
            </w:r>
            <w:r w:rsidRPr="008D4C6A">
              <w:br/>
              <w:t>2008</w:t>
            </w:r>
            <w:r w:rsidRPr="008D4C6A">
              <w:t>年制定「商標申請管理辦法」。</w:t>
            </w:r>
            <w:r w:rsidRPr="008D4C6A">
              <w:t xml:space="preserve">2012/5/23 </w:t>
            </w:r>
            <w:r w:rsidRPr="008D4C6A">
              <w:t>公布修訂第三版次。</w:t>
            </w:r>
            <w:r w:rsidRPr="008D4C6A">
              <w:br/>
              <w:t>2012</w:t>
            </w:r>
            <w:r w:rsidRPr="008D4C6A">
              <w:t>年制定「機密資訊保護政策」。</w:t>
            </w:r>
            <w:r w:rsidRPr="008D4C6A">
              <w:br/>
              <w:t>2015</w:t>
            </w:r>
            <w:r w:rsidRPr="008D4C6A">
              <w:t>年啟用專利提案系統。針對專利相關事務之各種期程管控，如提案管理、申請案管理、獎金管理、事務所管理等，有效提高整體之專利相關作業效率。同時從提案到專利申請等專利程序，有效記錄完整之內部技術、專利研發成果。</w:t>
            </w:r>
            <w:r w:rsidRPr="008D4C6A">
              <w:br/>
              <w:t>2016</w:t>
            </w:r>
            <w:r w:rsidRPr="008D4C6A">
              <w:t>年制定「智慧財產權管理辦法」。</w:t>
            </w:r>
          </w:p>
          <w:p w14:paraId="12104607" w14:textId="77777777" w:rsidR="008D4C6A" w:rsidRDefault="008D4C6A">
            <w:pPr>
              <w:rPr>
                <w:rFonts w:hint="eastAsia"/>
              </w:rPr>
            </w:pPr>
          </w:p>
        </w:tc>
      </w:tr>
    </w:tbl>
    <w:p w14:paraId="61A18009" w14:textId="02721B2F" w:rsidR="008D4C6A" w:rsidRDefault="008D4C6A"/>
    <w:tbl>
      <w:tblPr>
        <w:tblStyle w:val="a3"/>
        <w:tblW w:w="0" w:type="auto"/>
        <w:tblLook w:val="04A0" w:firstRow="1" w:lastRow="0" w:firstColumn="1" w:lastColumn="0" w:noHBand="0" w:noVBand="1"/>
      </w:tblPr>
      <w:tblGrid>
        <w:gridCol w:w="8296"/>
      </w:tblGrid>
      <w:tr w:rsidR="008D4C6A" w14:paraId="28590DF0" w14:textId="77777777" w:rsidTr="008D4C6A">
        <w:tc>
          <w:tcPr>
            <w:tcW w:w="8296" w:type="dxa"/>
            <w:shd w:val="clear" w:color="auto" w:fill="DEEAF6" w:themeFill="accent5" w:themeFillTint="33"/>
          </w:tcPr>
          <w:p w14:paraId="449F24F1" w14:textId="61144C01" w:rsidR="008D4C6A" w:rsidRPr="008D4C6A" w:rsidRDefault="008D4C6A">
            <w:pPr>
              <w:rPr>
                <w:rFonts w:hint="eastAsia"/>
                <w:b/>
                <w:bCs/>
                <w:sz w:val="28"/>
                <w:szCs w:val="24"/>
              </w:rPr>
            </w:pPr>
            <w:r w:rsidRPr="008D4C6A">
              <w:rPr>
                <w:b/>
                <w:bCs/>
                <w:sz w:val="28"/>
                <w:szCs w:val="24"/>
              </w:rPr>
              <w:t>知识产权管理</w:t>
            </w:r>
          </w:p>
        </w:tc>
      </w:tr>
      <w:tr w:rsidR="008D4C6A" w14:paraId="5A1D62AC" w14:textId="77777777" w:rsidTr="008D4C6A">
        <w:tc>
          <w:tcPr>
            <w:tcW w:w="8296" w:type="dxa"/>
          </w:tcPr>
          <w:p w14:paraId="141A2798" w14:textId="77777777" w:rsidR="008D4C6A" w:rsidRPr="008D4C6A" w:rsidRDefault="008D4C6A" w:rsidP="008D4C6A">
            <w:r w:rsidRPr="008D4C6A">
              <w:t>本公司采取结合营运发展重点目标与保护知识产权之策略，针对特定开发之硅智财</w:t>
            </w:r>
            <w:r w:rsidRPr="008D4C6A">
              <w:t>(SIP)</w:t>
            </w:r>
            <w:r w:rsidRPr="008D4C6A">
              <w:t>与先进封装技术</w:t>
            </w:r>
            <w:r w:rsidRPr="008D4C6A">
              <w:t>(APT)</w:t>
            </w:r>
            <w:r w:rsidRPr="008D4C6A">
              <w:t>，例如</w:t>
            </w:r>
            <w:r w:rsidRPr="008D4C6A">
              <w:t>CoWoS</w:t>
            </w:r>
            <w:r w:rsidRPr="008D4C6A">
              <w:t>、</w:t>
            </w:r>
            <w:r w:rsidRPr="008D4C6A">
              <w:t>HBM</w:t>
            </w:r>
            <w:r w:rsidRPr="008D4C6A">
              <w:t>与</w:t>
            </w:r>
            <w:r w:rsidRPr="008D4C6A">
              <w:t>G-Link</w:t>
            </w:r>
            <w:r w:rsidRPr="008D4C6A">
              <w:t>，由专利工程师会同相关研发人员检视研发、设计过程及成果，以评估专利申请之可行性后，针对具有专利布局价值之个案积极进行专利申请，并持续追踪相关提案进度。本公司针对特定开发之硅智财</w:t>
            </w:r>
            <w:r w:rsidRPr="008D4C6A">
              <w:t>(SIP)</w:t>
            </w:r>
            <w:r w:rsidRPr="008D4C6A">
              <w:t>已陆续进行专利布局，该作为除了强化本公司在特定领域之竞争优势，并同时落实｢硅智财</w:t>
            </w:r>
            <w:r w:rsidRPr="008D4C6A">
              <w:t>(SIP)</w:t>
            </w:r>
            <w:r w:rsidRPr="008D4C6A">
              <w:t>项目</w:t>
            </w:r>
            <w:r w:rsidRPr="008D4C6A">
              <w:t>/IC</w:t>
            </w:r>
            <w:r w:rsidRPr="008D4C6A">
              <w:t>产品专利化｣，以达成｢专利保护硅智财</w:t>
            </w:r>
            <w:r w:rsidRPr="008D4C6A">
              <w:t>(SIP)</w:t>
            </w:r>
            <w:r w:rsidRPr="008D4C6A">
              <w:t>项目</w:t>
            </w:r>
            <w:r w:rsidRPr="008D4C6A">
              <w:t>/IC</w:t>
            </w:r>
            <w:r w:rsidRPr="008D4C6A">
              <w:t>产品｣之目标。同时，本公司定期的专利技术盘点可作为专利智财与硅智财</w:t>
            </w:r>
            <w:r w:rsidRPr="008D4C6A">
              <w:t>(SIP)</w:t>
            </w:r>
            <w:r w:rsidRPr="008D4C6A">
              <w:t>之关联性管理以及专利智财之价值评估依据。截至</w:t>
            </w:r>
            <w:r w:rsidRPr="008D4C6A">
              <w:t>2024</w:t>
            </w:r>
            <w:r w:rsidRPr="008D4C6A">
              <w:t>年</w:t>
            </w:r>
            <w:r w:rsidRPr="008D4C6A">
              <w:t>12</w:t>
            </w:r>
            <w:r w:rsidRPr="008D4C6A">
              <w:t>月</w:t>
            </w:r>
            <w:r w:rsidRPr="008D4C6A">
              <w:t>31</w:t>
            </w:r>
            <w:r w:rsidRPr="008D4C6A">
              <w:t>日止，本公司自成立以来获得各国专利数量逾</w:t>
            </w:r>
            <w:r w:rsidRPr="008D4C6A">
              <w:t>560</w:t>
            </w:r>
            <w:r w:rsidRPr="008D4C6A">
              <w:t>件。法务主管每年至少一次向董事会报告智慧财产管理计划执</w:t>
            </w:r>
            <w:r w:rsidRPr="008D4C6A">
              <w:lastRenderedPageBreak/>
              <w:t>行情形。</w:t>
            </w:r>
          </w:p>
          <w:p w14:paraId="4A6DB62E" w14:textId="77777777" w:rsidR="008D4C6A" w:rsidRPr="008D4C6A" w:rsidRDefault="008D4C6A" w:rsidP="008D4C6A">
            <w:r w:rsidRPr="008D4C6A">
              <w:t> </w:t>
            </w:r>
          </w:p>
          <w:p w14:paraId="6DF2D2E2" w14:textId="77777777" w:rsidR="008D4C6A" w:rsidRPr="008D4C6A" w:rsidRDefault="008D4C6A" w:rsidP="008D4C6A">
            <w:r w:rsidRPr="008D4C6A">
              <w:t>另外，本公司自</w:t>
            </w:r>
            <w:r w:rsidRPr="008D4C6A">
              <w:t>2000</w:t>
            </w:r>
            <w:r w:rsidRPr="008D4C6A">
              <w:t>年起推动知识产权相关管理计划，主要之执行情形如下：</w:t>
            </w:r>
          </w:p>
          <w:p w14:paraId="17910F95" w14:textId="77777777" w:rsidR="008D4C6A" w:rsidRPr="008D4C6A" w:rsidRDefault="008D4C6A" w:rsidP="008D4C6A">
            <w:r w:rsidRPr="008D4C6A">
              <w:br/>
              <w:t>2000</w:t>
            </w:r>
            <w:r w:rsidRPr="008D4C6A">
              <w:t>年制定「专利提案申请程序」。</w:t>
            </w:r>
            <w:r w:rsidRPr="008D4C6A">
              <w:t>2022/08/09 </w:t>
            </w:r>
            <w:r w:rsidRPr="008D4C6A">
              <w:t>公布修订第二十二版次。</w:t>
            </w:r>
            <w:r w:rsidRPr="008D4C6A">
              <w:br/>
              <w:t>2003</w:t>
            </w:r>
            <w:r w:rsidRPr="008D4C6A">
              <w:t>年制定「机密信息管制程序」。</w:t>
            </w:r>
            <w:r w:rsidRPr="008D4C6A">
              <w:t xml:space="preserve">2021/05/26 </w:t>
            </w:r>
            <w:r w:rsidRPr="008D4C6A">
              <w:t>公布修订第十版次。</w:t>
            </w:r>
            <w:r w:rsidRPr="008D4C6A">
              <w:br/>
              <w:t>2008</w:t>
            </w:r>
            <w:r w:rsidRPr="008D4C6A">
              <w:t>年制定「商标申请管理办法」。</w:t>
            </w:r>
            <w:r w:rsidRPr="008D4C6A">
              <w:t xml:space="preserve">2012/5/23 </w:t>
            </w:r>
            <w:r w:rsidRPr="008D4C6A">
              <w:t>公布修订第三版次。</w:t>
            </w:r>
            <w:r w:rsidRPr="008D4C6A">
              <w:br/>
              <w:t>2012</w:t>
            </w:r>
            <w:r w:rsidRPr="008D4C6A">
              <w:t>年制定「机密信息保护政策」。</w:t>
            </w:r>
            <w:r w:rsidRPr="008D4C6A">
              <w:br/>
              <w:t>2015</w:t>
            </w:r>
            <w:r w:rsidRPr="008D4C6A">
              <w:t>年启用专利提案系统。针对专利相关事务之各种期程管控，如提案管理、申请案管理、奖金管理、事务所管理等，有效提高整体之专利相关作业效率。同时从提案到专利申请等专利程序，有效记录完整之内部技术、专利研发成果。</w:t>
            </w:r>
            <w:r w:rsidRPr="008D4C6A">
              <w:br/>
              <w:t>2016</w:t>
            </w:r>
            <w:r w:rsidRPr="008D4C6A">
              <w:t>年制定「知识产权管理办法」。</w:t>
            </w:r>
          </w:p>
          <w:p w14:paraId="7B788899" w14:textId="77777777" w:rsidR="008D4C6A" w:rsidRDefault="008D4C6A">
            <w:pPr>
              <w:rPr>
                <w:rFonts w:hint="eastAsia"/>
              </w:rPr>
            </w:pPr>
          </w:p>
        </w:tc>
      </w:tr>
    </w:tbl>
    <w:p w14:paraId="6E898AC6" w14:textId="77777777" w:rsidR="008D4C6A" w:rsidRDefault="008D4C6A">
      <w:pPr>
        <w:rPr>
          <w:rFonts w:hint="eastAsia"/>
        </w:rPr>
      </w:pPr>
    </w:p>
    <w:sectPr w:rsidR="008D4C6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2C"/>
    <w:rsid w:val="0006042C"/>
    <w:rsid w:val="0054162F"/>
    <w:rsid w:val="008D4C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1FE0"/>
  <w15:chartTrackingRefBased/>
  <w15:docId w15:val="{16E0DCB9-9D7E-407F-9719-5AE636A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4379">
      <w:bodyDiv w:val="1"/>
      <w:marLeft w:val="0"/>
      <w:marRight w:val="0"/>
      <w:marTop w:val="0"/>
      <w:marBottom w:val="0"/>
      <w:divBdr>
        <w:top w:val="none" w:sz="0" w:space="0" w:color="auto"/>
        <w:left w:val="none" w:sz="0" w:space="0" w:color="auto"/>
        <w:bottom w:val="none" w:sz="0" w:space="0" w:color="auto"/>
        <w:right w:val="none" w:sz="0" w:space="0" w:color="auto"/>
      </w:divBdr>
    </w:div>
    <w:div w:id="488790957">
      <w:bodyDiv w:val="1"/>
      <w:marLeft w:val="0"/>
      <w:marRight w:val="0"/>
      <w:marTop w:val="0"/>
      <w:marBottom w:val="0"/>
      <w:divBdr>
        <w:top w:val="none" w:sz="0" w:space="0" w:color="auto"/>
        <w:left w:val="none" w:sz="0" w:space="0" w:color="auto"/>
        <w:bottom w:val="none" w:sz="0" w:space="0" w:color="auto"/>
        <w:right w:val="none" w:sz="0" w:space="0" w:color="auto"/>
      </w:divBdr>
    </w:div>
    <w:div w:id="561062597">
      <w:bodyDiv w:val="1"/>
      <w:marLeft w:val="0"/>
      <w:marRight w:val="0"/>
      <w:marTop w:val="0"/>
      <w:marBottom w:val="0"/>
      <w:divBdr>
        <w:top w:val="none" w:sz="0" w:space="0" w:color="auto"/>
        <w:left w:val="none" w:sz="0" w:space="0" w:color="auto"/>
        <w:bottom w:val="none" w:sz="0" w:space="0" w:color="auto"/>
        <w:right w:val="none" w:sz="0" w:space="0" w:color="auto"/>
      </w:divBdr>
    </w:div>
    <w:div w:id="575749083">
      <w:bodyDiv w:val="1"/>
      <w:marLeft w:val="0"/>
      <w:marRight w:val="0"/>
      <w:marTop w:val="0"/>
      <w:marBottom w:val="0"/>
      <w:divBdr>
        <w:top w:val="none" w:sz="0" w:space="0" w:color="auto"/>
        <w:left w:val="none" w:sz="0" w:space="0" w:color="auto"/>
        <w:bottom w:val="none" w:sz="0" w:space="0" w:color="auto"/>
        <w:right w:val="none" w:sz="0" w:space="0" w:color="auto"/>
      </w:divBdr>
    </w:div>
    <w:div w:id="1241214152">
      <w:bodyDiv w:val="1"/>
      <w:marLeft w:val="0"/>
      <w:marRight w:val="0"/>
      <w:marTop w:val="0"/>
      <w:marBottom w:val="0"/>
      <w:divBdr>
        <w:top w:val="none" w:sz="0" w:space="0" w:color="auto"/>
        <w:left w:val="none" w:sz="0" w:space="0" w:color="auto"/>
        <w:bottom w:val="none" w:sz="0" w:space="0" w:color="auto"/>
        <w:right w:val="none" w:sz="0" w:space="0" w:color="auto"/>
      </w:divBdr>
    </w:div>
    <w:div w:id="197047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3191</Characters>
  <Application>Microsoft Office Word</Application>
  <DocSecurity>0</DocSecurity>
  <Lines>26</Lines>
  <Paragraphs>7</Paragraphs>
  <ScaleCrop>false</ScaleCrop>
  <Company>GUC</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2</cp:revision>
  <dcterms:created xsi:type="dcterms:W3CDTF">2025-04-07T15:21:00Z</dcterms:created>
  <dcterms:modified xsi:type="dcterms:W3CDTF">2025-04-07T15:24:00Z</dcterms:modified>
</cp:coreProperties>
</file>