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A814" w14:textId="77777777" w:rsidR="00A41BBB" w:rsidRPr="00A41BBB" w:rsidRDefault="00A41BBB" w:rsidP="00A41BBB">
      <w:pPr>
        <w:widowControl/>
        <w:shd w:val="clear" w:color="auto" w:fill="FFFFFF"/>
        <w:spacing w:after="96"/>
        <w:outlineLvl w:val="1"/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</w:pPr>
      <w:r w:rsidRPr="00A41BBB"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  <w:t>Current</w:t>
      </w:r>
    </w:p>
    <w:p w14:paraId="22FCE29B" w14:textId="77777777" w:rsidR="00A41BBB" w:rsidRPr="00A41BBB" w:rsidRDefault="00A41BBB" w:rsidP="00A41BBB">
      <w:pPr>
        <w:widowControl/>
        <w:shd w:val="clear" w:color="auto" w:fill="FFFFFF"/>
        <w:spacing w:after="166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</w:pPr>
      <w:r w:rsidRPr="00A41BBB"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  <w:t>Taiwan-IFRSs</w:t>
      </w:r>
    </w:p>
    <w:p w14:paraId="5A8E17E5" w14:textId="1C6FBDB6" w:rsidR="00A41BBB" w:rsidRPr="00A41BBB" w:rsidRDefault="00A41BBB" w:rsidP="00A41BBB">
      <w:pPr>
        <w:widowControl/>
        <w:numPr>
          <w:ilvl w:val="0"/>
          <w:numId w:val="1"/>
        </w:numPr>
        <w:pBdr>
          <w:top w:val="single" w:sz="6" w:space="0" w:color="9C9C9C"/>
          <w:bottom w:val="single" w:sz="6" w:space="0" w:color="9C9C9C"/>
        </w:pBdr>
        <w:shd w:val="clear" w:color="auto" w:fill="FFFFFF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hyperlink r:id="rId5" w:tgtFrame="_blank" w:tooltip="[open with new window]" w:history="1">
        <w:r w:rsidRPr="00A41BBB">
          <w:rPr>
            <w:rFonts w:ascii="Arial" w:eastAsia="新細明體" w:hAnsi="Arial" w:cs="Arial"/>
            <w:color w:val="565656"/>
            <w:spacing w:val="5"/>
            <w:kern w:val="0"/>
            <w:szCs w:val="24"/>
          </w:rPr>
          <w:t>Consolidated Financial Statements</w:t>
        </w:r>
      </w:hyperlink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              (attached file)</w:t>
      </w:r>
    </w:p>
    <w:p w14:paraId="4D655881" w14:textId="05CDA9CA" w:rsidR="00226CE7" w:rsidRDefault="00226CE7" w:rsidP="00A41BBB"/>
    <w:p w14:paraId="3DF7667A" w14:textId="572323B8" w:rsidR="00A41BBB" w:rsidRDefault="00A41BBB" w:rsidP="00A41BBB"/>
    <w:p w14:paraId="7A1E3C08" w14:textId="74F1F836" w:rsidR="00A41BBB" w:rsidRDefault="00A41BBB" w:rsidP="00A41BBB"/>
    <w:p w14:paraId="4E39F9AC" w14:textId="77777777" w:rsidR="00A41BBB" w:rsidRDefault="00A41BBB" w:rsidP="00A41BBB">
      <w:pPr>
        <w:pStyle w:val="2"/>
        <w:spacing w:before="0" w:beforeAutospacing="0" w:after="96" w:afterAutospacing="0"/>
        <w:rPr>
          <w:rFonts w:ascii="Arial" w:hAnsi="Arial" w:cs="Arial"/>
          <w:color w:val="000000"/>
          <w:spacing w:val="14"/>
        </w:rPr>
      </w:pPr>
      <w:r>
        <w:rPr>
          <w:rFonts w:ascii="Arial" w:hAnsi="Arial" w:cs="Arial"/>
          <w:color w:val="000000"/>
          <w:spacing w:val="14"/>
        </w:rPr>
        <w:t>2012 and Before</w:t>
      </w:r>
    </w:p>
    <w:p w14:paraId="212C12EE" w14:textId="77777777" w:rsidR="00A41BBB" w:rsidRDefault="00A41BBB" w:rsidP="00A41BBB">
      <w:pPr>
        <w:pStyle w:val="3"/>
        <w:spacing w:before="0" w:beforeAutospacing="0" w:after="16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R.O.C. GAAP</w:t>
      </w:r>
    </w:p>
    <w:p w14:paraId="67C04D9D" w14:textId="2575CB98" w:rsidR="00A41BBB" w:rsidRDefault="00A41BBB" w:rsidP="00A41BBB">
      <w:pPr>
        <w:pStyle w:val="text-tip"/>
        <w:rPr>
          <w:color w:val="A3A3A3"/>
          <w:sz w:val="21"/>
          <w:szCs w:val="21"/>
        </w:rPr>
      </w:pPr>
      <w:hyperlink r:id="rId6" w:tgtFrame="_blank" w:tooltip="[open with new window]" w:history="1">
        <w:r>
          <w:rPr>
            <w:rStyle w:val="file-listitemdesc"/>
            <w:rFonts w:ascii="Arial" w:hAnsi="Arial" w:cs="Arial"/>
            <w:color w:val="008458"/>
            <w:spacing w:val="5"/>
          </w:rPr>
          <w:t>Consolidated Financial Statements</w:t>
        </w:r>
        <w:r>
          <w:rPr>
            <w:rStyle w:val="file-listitemdesc"/>
            <w:rFonts w:ascii="Arial" w:hAnsi="Arial" w:cs="Arial"/>
            <w:color w:val="008458"/>
            <w:spacing w:val="5"/>
          </w:rPr>
          <w:t xml:space="preserve">                   (attached file) </w:t>
        </w:r>
        <w:r>
          <w:rPr>
            <w:color w:val="008458"/>
          </w:rPr>
          <w:br/>
        </w:r>
      </w:hyperlink>
      <w:r>
        <w:rPr>
          <w:color w:val="A3A3A3"/>
          <w:sz w:val="21"/>
          <w:szCs w:val="21"/>
        </w:rPr>
        <w:t>*Starting 2013, GUC prepares financial statements in accordance with Taiwan-IFRSs (International Financial Reporting Standards as endorsed in R.O.C.). Regarding the differences between 2012 financial statements under Taiwan-IFRSs and under R.O.C. GAAP, please refer to the report of "Major Differences between Taiwan-IFRSs and R.O.C. GAAP for GUC and Subsidiaries" below.</w:t>
      </w:r>
    </w:p>
    <w:p w14:paraId="576E7BBE" w14:textId="77777777" w:rsidR="00A41BBB" w:rsidRDefault="00A41BBB" w:rsidP="00A41BBB">
      <w:pPr>
        <w:pStyle w:val="3"/>
        <w:spacing w:before="0" w:beforeAutospacing="0" w:after="16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Major Differences between Taiwan-IFRSs and R.O.C. GAAP for GUC and Subsidiaries</w:t>
      </w:r>
    </w:p>
    <w:p w14:paraId="01CC32D2" w14:textId="448DFD97" w:rsidR="00A41BBB" w:rsidRPr="00A41BBB" w:rsidRDefault="00A41BBB" w:rsidP="00A41BBB">
      <w:pPr>
        <w:rPr>
          <w:rFonts w:hint="eastAsia"/>
        </w:rPr>
      </w:pPr>
      <w:hyperlink r:id="rId7" w:tgtFrame="_blank" w:tooltip="[open with new window]" w:history="1">
        <w:r>
          <w:rPr>
            <w:rStyle w:val="file-listitemdesc"/>
            <w:rFonts w:ascii="Arial" w:hAnsi="Arial" w:cs="Arial"/>
            <w:color w:val="565656"/>
            <w:spacing w:val="5"/>
          </w:rPr>
          <w:t>Major Differences between Taiwan-IFRSs and R.O.C. GAAP for GUC and Subsidiaries</w:t>
        </w:r>
        <w:r>
          <w:rPr>
            <w:color w:val="565656"/>
          </w:rPr>
          <w:br/>
        </w:r>
      </w:hyperlink>
    </w:p>
    <w:sectPr w:rsidR="00A41BBB" w:rsidRPr="00A41B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8A1"/>
    <w:multiLevelType w:val="multilevel"/>
    <w:tmpl w:val="2AE8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35"/>
    <w:rsid w:val="00007935"/>
    <w:rsid w:val="00226CE7"/>
    <w:rsid w:val="00A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6219"/>
  <w15:chartTrackingRefBased/>
  <w15:docId w15:val="{68BC3D71-3627-4179-8B54-6E52F21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41BB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1BB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1BB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41BB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file-listitem">
    <w:name w:val="file-list__item"/>
    <w:basedOn w:val="a"/>
    <w:rsid w:val="00A41B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ile-listitemdesc">
    <w:name w:val="file-list__item__desc"/>
    <w:basedOn w:val="a0"/>
    <w:rsid w:val="00A41BBB"/>
  </w:style>
  <w:style w:type="paragraph" w:customStyle="1" w:styleId="text-tip">
    <w:name w:val="text-tip"/>
    <w:basedOn w:val="a"/>
    <w:rsid w:val="00A41B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C9C9C"/>
            <w:right w:val="none" w:sz="0" w:space="0" w:color="auto"/>
          </w:divBdr>
        </w:div>
        <w:div w:id="478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C9C9C"/>
            <w:right w:val="none" w:sz="0" w:space="0" w:color="auto"/>
          </w:divBdr>
        </w:div>
        <w:div w:id="3861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uc-asic.com/upload/inv_fin_historical/Major_Differences_between_Taiwan_IFRSs_and_ROC_1706151893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c-asic.com/upload/inv_fin_historical/ROC_Consolidated_Financial_Statements_2012_before_17061518666%20(1).xls" TargetMode="External"/><Relationship Id="rId5" Type="http://schemas.openxmlformats.org/officeDocument/2006/relationships/hyperlink" Target="https://www.guc-asic.com/upload/inv_fin_historical/Consolidated%20Financial%20Statements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>GUC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2025-05-08T05:06:00Z</dcterms:created>
  <dcterms:modified xsi:type="dcterms:W3CDTF">2025-05-08T05:08:00Z</dcterms:modified>
</cp:coreProperties>
</file>