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9609B" w14:textId="0F9CEFE3" w:rsidR="004D007E" w:rsidRDefault="004D007E">
      <w:pPr>
        <w:rPr>
          <w:rFonts w:ascii="Arial" w:eastAsia="DengXian" w:hAnsi="Arial" w:cs="Arial"/>
          <w:b/>
          <w:lang w:eastAsia="zh-CN"/>
        </w:rPr>
      </w:pPr>
      <w:bookmarkStart w:id="0" w:name="OLE_LINK1"/>
      <w:bookmarkStart w:id="1" w:name="OLE_LINK2"/>
      <w:bookmarkStart w:id="2" w:name="OLE_LINK11"/>
      <w:bookmarkStart w:id="3" w:name="OLE_LINK12"/>
      <w:r w:rsidRPr="004D007E">
        <w:rPr>
          <w:rFonts w:ascii="Arial" w:eastAsia="DengXian" w:hAnsi="Arial" w:cs="Arial"/>
          <w:b/>
          <w:lang w:eastAsia="zh-CN"/>
        </w:rPr>
        <w:t>Flexible Business Model</w:t>
      </w:r>
    </w:p>
    <w:p w14:paraId="12AB8673" w14:textId="44353A50" w:rsidR="000A2FAE" w:rsidRDefault="000A2FAE">
      <w:pPr>
        <w:rPr>
          <w:rFonts w:ascii="Arial" w:eastAsia="DengXian" w:hAnsi="Arial" w:cs="Arial"/>
          <w:b/>
          <w:lang w:eastAsia="zh-CN"/>
        </w:rPr>
      </w:pPr>
    </w:p>
    <w:p w14:paraId="490AE3BB" w14:textId="05613173" w:rsidR="000A2FAE" w:rsidRDefault="00792BDA" w:rsidP="00792BDA">
      <w:pPr>
        <w:rPr>
          <w:rFonts w:ascii="Arial" w:hAnsi="Arial" w:cs="Arial"/>
          <w:bCs/>
        </w:rPr>
      </w:pPr>
      <w:r w:rsidRPr="00792BDA">
        <w:rPr>
          <w:rFonts w:ascii="Arial" w:hAnsi="Arial" w:cs="Arial"/>
          <w:bCs/>
        </w:rPr>
        <w:t>GUC offers flexible engagement models tailored to diverse customer needs, including Spec-in, Netlist-in, GDS-II-in, as well as production and supply chain management, as illustrated in the following figure.</w:t>
      </w:r>
    </w:p>
    <w:p w14:paraId="7CB2CF0F" w14:textId="7FA98964" w:rsidR="00E6458D" w:rsidRPr="00DD1C16" w:rsidRDefault="007A0FEE" w:rsidP="00792BDA">
      <w:pPr>
        <w:rPr>
          <w:rFonts w:ascii="Arial" w:hAnsi="Arial" w:cs="Arial"/>
          <w:bCs/>
          <w:i/>
          <w:iCs/>
        </w:rPr>
      </w:pPr>
      <w:r w:rsidRPr="00DD1C16">
        <w:rPr>
          <w:rFonts w:ascii="Arial" w:hAnsi="Arial" w:cs="Arial" w:hint="eastAsia"/>
          <w:bCs/>
          <w:i/>
          <w:iCs/>
        </w:rPr>
        <w:t>(f</w:t>
      </w:r>
      <w:r w:rsidRPr="00DD1C16">
        <w:rPr>
          <w:rFonts w:ascii="Arial" w:hAnsi="Arial" w:cs="Arial"/>
          <w:bCs/>
          <w:i/>
          <w:iCs/>
        </w:rPr>
        <w:t>igure source: company profile)</w:t>
      </w:r>
    </w:p>
    <w:p w14:paraId="74184CCA" w14:textId="2FA131D1" w:rsidR="00E6458D" w:rsidRDefault="00EF6298" w:rsidP="00792BDA">
      <w:pPr>
        <w:rPr>
          <w:rFonts w:ascii="Arial" w:hAnsi="Arial" w:cs="Arial"/>
          <w:bCs/>
        </w:rPr>
      </w:pPr>
      <w:r>
        <w:rPr>
          <w:noProof/>
        </w:rPr>
        <w:drawing>
          <wp:inline distT="0" distB="0" distL="0" distR="0" wp14:anchorId="5600FE02" wp14:editId="00D21446">
            <wp:extent cx="6336000" cy="3205367"/>
            <wp:effectExtent l="0" t="0" r="825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36000" cy="3205367"/>
                    </a:xfrm>
                    <a:prstGeom prst="rect">
                      <a:avLst/>
                    </a:prstGeom>
                  </pic:spPr>
                </pic:pic>
              </a:graphicData>
            </a:graphic>
          </wp:inline>
        </w:drawing>
      </w:r>
    </w:p>
    <w:p w14:paraId="09BFD706" w14:textId="2D26E5AF" w:rsidR="008E3135" w:rsidRDefault="008E3135" w:rsidP="00792BDA">
      <w:pPr>
        <w:rPr>
          <w:rFonts w:ascii="Arial" w:hAnsi="Arial" w:cs="Arial"/>
          <w:bCs/>
        </w:rPr>
      </w:pPr>
    </w:p>
    <w:p w14:paraId="48463EB8" w14:textId="11B705FC" w:rsidR="008E3135" w:rsidRPr="004179E7" w:rsidRDefault="004179E7" w:rsidP="00792BDA">
      <w:pPr>
        <w:rPr>
          <w:rFonts w:ascii="Arial" w:hAnsi="Arial" w:cs="Arial"/>
          <w:b/>
        </w:rPr>
      </w:pPr>
      <w:r w:rsidRPr="004179E7">
        <w:rPr>
          <w:rFonts w:ascii="Arial" w:hAnsi="Arial" w:cs="Arial" w:hint="eastAsia"/>
          <w:b/>
        </w:rPr>
        <w:t>S</w:t>
      </w:r>
      <w:r w:rsidRPr="004179E7">
        <w:rPr>
          <w:rFonts w:ascii="Arial" w:hAnsi="Arial" w:cs="Arial"/>
          <w:b/>
        </w:rPr>
        <w:t>pec-In Service</w:t>
      </w:r>
    </w:p>
    <w:p w14:paraId="356D4C72" w14:textId="5158285E" w:rsidR="004179E7" w:rsidRDefault="004179E7" w:rsidP="00792BDA">
      <w:pPr>
        <w:rPr>
          <w:rFonts w:ascii="Arial" w:hAnsi="Arial" w:cs="Arial"/>
          <w:bCs/>
        </w:rPr>
      </w:pPr>
    </w:p>
    <w:p w14:paraId="3E11760A" w14:textId="3BD887C2" w:rsidR="004179E7" w:rsidRDefault="002746E9" w:rsidP="002746E9">
      <w:pPr>
        <w:rPr>
          <w:rFonts w:ascii="Arial" w:hAnsi="Arial" w:cs="Arial"/>
          <w:bCs/>
        </w:rPr>
      </w:pPr>
      <w:r w:rsidRPr="002746E9">
        <w:rPr>
          <w:rFonts w:ascii="Arial" w:hAnsi="Arial" w:cs="Arial"/>
          <w:bCs/>
        </w:rPr>
        <w:t>Our comprehensive spec-in service encompasses front-end design architecture optimization, IP solutions, IP/subsystem/chip integration and design verification, software services, and system emulation.</w:t>
      </w:r>
    </w:p>
    <w:p w14:paraId="7CDCEA63" w14:textId="6D20D7C6" w:rsidR="004F0BB4" w:rsidRDefault="004F0BB4" w:rsidP="002746E9">
      <w:pPr>
        <w:rPr>
          <w:rFonts w:ascii="Arial" w:hAnsi="Arial" w:cs="Arial"/>
          <w:bCs/>
        </w:rPr>
      </w:pPr>
    </w:p>
    <w:p w14:paraId="1C84B1A0" w14:textId="77777777" w:rsidR="005C7DF9" w:rsidRDefault="005C7DF9" w:rsidP="002746E9">
      <w:pPr>
        <w:rPr>
          <w:rFonts w:ascii="Arial" w:hAnsi="Arial" w:cs="Arial"/>
          <w:b/>
        </w:rPr>
      </w:pPr>
    </w:p>
    <w:p w14:paraId="2002BD52" w14:textId="7BEF0AF7" w:rsidR="004F0BB4" w:rsidRDefault="00EF6140" w:rsidP="002746E9">
      <w:pPr>
        <w:rPr>
          <w:rFonts w:ascii="Arial" w:hAnsi="Arial" w:cs="Arial"/>
          <w:b/>
        </w:rPr>
      </w:pPr>
      <w:r>
        <w:rPr>
          <w:rFonts w:ascii="Arial" w:hAnsi="Arial" w:cs="Arial"/>
          <w:b/>
        </w:rPr>
        <w:t>TK1</w:t>
      </w:r>
      <w:r w:rsidR="004F0BB4" w:rsidRPr="004F0BB4">
        <w:rPr>
          <w:rFonts w:ascii="Arial" w:hAnsi="Arial" w:cs="Arial"/>
          <w:b/>
        </w:rPr>
        <w:t xml:space="preserve"> Service (</w:t>
      </w:r>
      <w:r>
        <w:rPr>
          <w:rFonts w:ascii="Arial" w:hAnsi="Arial" w:cs="Arial"/>
          <w:b/>
        </w:rPr>
        <w:t>Netlist-In</w:t>
      </w:r>
      <w:r w:rsidR="004F0BB4" w:rsidRPr="004F0BB4">
        <w:rPr>
          <w:rFonts w:ascii="Arial" w:hAnsi="Arial" w:cs="Arial"/>
          <w:b/>
        </w:rPr>
        <w:t>)</w:t>
      </w:r>
    </w:p>
    <w:p w14:paraId="13588D93" w14:textId="74250AF8" w:rsidR="004F0BB4" w:rsidRDefault="004F0BB4" w:rsidP="002746E9">
      <w:pPr>
        <w:rPr>
          <w:rFonts w:ascii="Arial" w:hAnsi="Arial" w:cs="Arial"/>
          <w:b/>
        </w:rPr>
      </w:pPr>
    </w:p>
    <w:p w14:paraId="4C22C9AC" w14:textId="3B01CF0E" w:rsidR="007E0592" w:rsidRPr="00C04E4D" w:rsidRDefault="005C7DF9" w:rsidP="002746E9">
      <w:pPr>
        <w:rPr>
          <w:rFonts w:ascii="Arial" w:hAnsi="Arial" w:cs="Arial"/>
          <w:bCs/>
        </w:rPr>
      </w:pPr>
      <w:r w:rsidRPr="005C7DF9">
        <w:rPr>
          <w:rFonts w:ascii="Arial" w:hAnsi="Arial" w:cs="Arial"/>
          <w:bCs/>
        </w:rPr>
        <w:t>Our industry-leading physical design expertise spans advanced process design, 2.5D and 3D design, flagship SoC design, and low-power solutions. It includes floorplanning, partitioning, placement, clock tree synthesis (CTS), routing, scan test insertion, power planning, signal integrity analysis, timing analysis and optimization, physical verification, and final GDSII layout preparation for fabrication, followed by production and supply chain management</w:t>
      </w:r>
      <w:r w:rsidR="00D7144D">
        <w:rPr>
          <w:rFonts w:ascii="Arial" w:hAnsi="Arial" w:cs="Arial"/>
          <w:bCs/>
        </w:rPr>
        <w:t>.</w:t>
      </w:r>
      <w:r w:rsidR="00E2663B">
        <w:rPr>
          <w:rFonts w:ascii="Arial" w:hAnsi="Arial" w:cs="Arial"/>
          <w:bCs/>
        </w:rPr>
        <w:t xml:space="preserve">  </w:t>
      </w:r>
      <w:r w:rsidR="006D0228">
        <w:rPr>
          <w:rFonts w:ascii="Arial" w:hAnsi="Arial" w:cs="Arial"/>
          <w:bCs/>
        </w:rPr>
        <w:t xml:space="preserve"> </w:t>
      </w:r>
    </w:p>
    <w:p w14:paraId="04EA1548" w14:textId="693D7295" w:rsidR="004F0BB4" w:rsidRDefault="004F0BB4" w:rsidP="002746E9">
      <w:pPr>
        <w:rPr>
          <w:rFonts w:ascii="Arial" w:hAnsi="Arial" w:cs="Arial"/>
          <w:b/>
        </w:rPr>
      </w:pPr>
    </w:p>
    <w:p w14:paraId="7561A30E" w14:textId="321C9BD7" w:rsidR="008D6E76" w:rsidRDefault="008D6E76" w:rsidP="002746E9">
      <w:pPr>
        <w:rPr>
          <w:rFonts w:ascii="Arial" w:hAnsi="Arial" w:cs="Arial"/>
          <w:b/>
        </w:rPr>
      </w:pPr>
      <w:r>
        <w:rPr>
          <w:rFonts w:ascii="Arial" w:hAnsi="Arial" w:cs="Arial" w:hint="eastAsia"/>
          <w:b/>
        </w:rPr>
        <w:t>T</w:t>
      </w:r>
      <w:r>
        <w:rPr>
          <w:rFonts w:ascii="Arial" w:hAnsi="Arial" w:cs="Arial"/>
          <w:b/>
        </w:rPr>
        <w:t>K2 Service (GDS-In)</w:t>
      </w:r>
    </w:p>
    <w:p w14:paraId="69E1955A" w14:textId="42331C8F" w:rsidR="008D6E76" w:rsidRDefault="008D6E76" w:rsidP="002746E9">
      <w:pPr>
        <w:rPr>
          <w:rFonts w:ascii="Arial" w:hAnsi="Arial" w:cs="Arial"/>
          <w:b/>
        </w:rPr>
      </w:pPr>
    </w:p>
    <w:p w14:paraId="2CC7364A" w14:textId="77777777" w:rsidR="0095286B" w:rsidRDefault="00134BD4" w:rsidP="002746E9">
      <w:pPr>
        <w:rPr>
          <w:rFonts w:ascii="Arial" w:hAnsi="Arial" w:cs="Arial"/>
          <w:bCs/>
        </w:rPr>
      </w:pPr>
      <w:r w:rsidRPr="00134BD4">
        <w:rPr>
          <w:rFonts w:ascii="Arial" w:hAnsi="Arial" w:cs="Arial"/>
          <w:bCs/>
        </w:rPr>
        <w:t>Our GDS-in production service covers package design, tape-out, testing, sample delivery, qualification, production ramp, yield enhancement, and supply chain management. With strong foundry relationships and expertise in supply chain management, we ensure seamless service execution</w:t>
      </w:r>
      <w:r w:rsidR="00136188">
        <w:rPr>
          <w:rFonts w:ascii="Arial" w:hAnsi="Arial" w:cs="Arial"/>
          <w:bCs/>
        </w:rPr>
        <w:t>.</w:t>
      </w:r>
    </w:p>
    <w:p w14:paraId="00CE79EA" w14:textId="77777777" w:rsidR="0095286B" w:rsidRDefault="0095286B" w:rsidP="002746E9">
      <w:pPr>
        <w:rPr>
          <w:rFonts w:ascii="Arial" w:hAnsi="Arial" w:cs="Arial"/>
          <w:bCs/>
        </w:rPr>
      </w:pPr>
    </w:p>
    <w:p w14:paraId="6D1A43AA" w14:textId="77777777" w:rsidR="0095286B" w:rsidRDefault="0095286B" w:rsidP="002746E9">
      <w:pPr>
        <w:rPr>
          <w:rFonts w:ascii="Arial" w:hAnsi="Arial" w:cs="Arial"/>
          <w:bCs/>
        </w:rPr>
      </w:pPr>
    </w:p>
    <w:p w14:paraId="3DDB66C0" w14:textId="4F082A0C" w:rsidR="008D6E76" w:rsidRDefault="0095286B" w:rsidP="002746E9">
      <w:pPr>
        <w:rPr>
          <w:rFonts w:ascii="Arial" w:hAnsi="Arial" w:cs="Arial"/>
          <w:b/>
        </w:rPr>
      </w:pPr>
      <w:r w:rsidRPr="0095286B">
        <w:rPr>
          <w:rFonts w:ascii="Arial" w:hAnsi="Arial" w:cs="Arial"/>
          <w:b/>
        </w:rPr>
        <w:t>TK3 Service (Production Transfer)</w:t>
      </w:r>
    </w:p>
    <w:p w14:paraId="0741EFB2" w14:textId="1043863D" w:rsidR="0095286B" w:rsidRDefault="0095286B" w:rsidP="002746E9">
      <w:pPr>
        <w:rPr>
          <w:rFonts w:ascii="Arial" w:hAnsi="Arial" w:cs="Arial"/>
          <w:b/>
        </w:rPr>
      </w:pPr>
    </w:p>
    <w:p w14:paraId="09818E5E" w14:textId="3DA3772E" w:rsidR="0095286B" w:rsidRPr="008E0806" w:rsidRDefault="00D947C6" w:rsidP="002746E9">
      <w:pPr>
        <w:rPr>
          <w:rFonts w:ascii="Arial" w:hAnsi="Arial" w:cs="Arial"/>
          <w:bCs/>
        </w:rPr>
      </w:pPr>
      <w:r w:rsidRPr="00D947C6">
        <w:rPr>
          <w:rFonts w:ascii="Arial" w:hAnsi="Arial" w:cs="Arial"/>
          <w:bCs/>
        </w:rPr>
        <w:t>We offer flexible working models to support successful customer production, leveraging a well-established flow and checklist to ensure smooth and efficient transfers. Our strong foundry relationships and supply chain expertise enable seamless service execution</w:t>
      </w:r>
      <w:r w:rsidR="00F829E6" w:rsidRPr="00F829E6">
        <w:rPr>
          <w:rFonts w:ascii="Arial" w:hAnsi="Arial" w:cs="Arial"/>
          <w:bCs/>
        </w:rPr>
        <w:t>.</w:t>
      </w:r>
      <w:bookmarkEnd w:id="0"/>
      <w:bookmarkEnd w:id="1"/>
      <w:bookmarkEnd w:id="2"/>
      <w:bookmarkEnd w:id="3"/>
    </w:p>
    <w:sectPr w:rsidR="0095286B" w:rsidRPr="008E080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7200C" w14:textId="77777777" w:rsidR="009A3823" w:rsidRDefault="009A3823" w:rsidP="000A2FAE">
      <w:r>
        <w:separator/>
      </w:r>
    </w:p>
  </w:endnote>
  <w:endnote w:type="continuationSeparator" w:id="0">
    <w:p w14:paraId="1EE7AB2F" w14:textId="77777777" w:rsidR="009A3823" w:rsidRDefault="009A3823" w:rsidP="000A2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4944F" w14:textId="77777777" w:rsidR="009A3823" w:rsidRDefault="009A3823" w:rsidP="000A2FAE">
      <w:r>
        <w:separator/>
      </w:r>
    </w:p>
  </w:footnote>
  <w:footnote w:type="continuationSeparator" w:id="0">
    <w:p w14:paraId="0E92EF73" w14:textId="77777777" w:rsidR="009A3823" w:rsidRDefault="009A3823" w:rsidP="000A2F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996"/>
    <w:rsid w:val="00006837"/>
    <w:rsid w:val="000100ED"/>
    <w:rsid w:val="00010320"/>
    <w:rsid w:val="000115C1"/>
    <w:rsid w:val="00017623"/>
    <w:rsid w:val="00041046"/>
    <w:rsid w:val="000419E9"/>
    <w:rsid w:val="00043699"/>
    <w:rsid w:val="00050287"/>
    <w:rsid w:val="00057BBC"/>
    <w:rsid w:val="000738BF"/>
    <w:rsid w:val="00075828"/>
    <w:rsid w:val="0009168E"/>
    <w:rsid w:val="00093994"/>
    <w:rsid w:val="00096877"/>
    <w:rsid w:val="000A2FAE"/>
    <w:rsid w:val="000A521A"/>
    <w:rsid w:val="000B050B"/>
    <w:rsid w:val="000B1621"/>
    <w:rsid w:val="000C05AF"/>
    <w:rsid w:val="000C0B5D"/>
    <w:rsid w:val="000C0DB0"/>
    <w:rsid w:val="000C2375"/>
    <w:rsid w:val="000D647A"/>
    <w:rsid w:val="001009BC"/>
    <w:rsid w:val="00106AB9"/>
    <w:rsid w:val="001154BC"/>
    <w:rsid w:val="00115A7D"/>
    <w:rsid w:val="001302FA"/>
    <w:rsid w:val="00134BD4"/>
    <w:rsid w:val="00136188"/>
    <w:rsid w:val="0014770A"/>
    <w:rsid w:val="0016520E"/>
    <w:rsid w:val="001711E9"/>
    <w:rsid w:val="00181779"/>
    <w:rsid w:val="00192E15"/>
    <w:rsid w:val="00195621"/>
    <w:rsid w:val="001A11DE"/>
    <w:rsid w:val="001B2655"/>
    <w:rsid w:val="001C1D0D"/>
    <w:rsid w:val="001D706A"/>
    <w:rsid w:val="001F19B4"/>
    <w:rsid w:val="0021034D"/>
    <w:rsid w:val="002651A4"/>
    <w:rsid w:val="0026789C"/>
    <w:rsid w:val="002746E9"/>
    <w:rsid w:val="00281F1A"/>
    <w:rsid w:val="00287193"/>
    <w:rsid w:val="0029786A"/>
    <w:rsid w:val="002A4610"/>
    <w:rsid w:val="002C159C"/>
    <w:rsid w:val="002C4E3D"/>
    <w:rsid w:val="002C5ACC"/>
    <w:rsid w:val="002E2DA3"/>
    <w:rsid w:val="002E5D24"/>
    <w:rsid w:val="002F6468"/>
    <w:rsid w:val="00305548"/>
    <w:rsid w:val="00310426"/>
    <w:rsid w:val="00313FA7"/>
    <w:rsid w:val="0031475C"/>
    <w:rsid w:val="00326548"/>
    <w:rsid w:val="00327785"/>
    <w:rsid w:val="003719A6"/>
    <w:rsid w:val="0037735D"/>
    <w:rsid w:val="00390354"/>
    <w:rsid w:val="00397591"/>
    <w:rsid w:val="003A0B55"/>
    <w:rsid w:val="003A5C33"/>
    <w:rsid w:val="003C0507"/>
    <w:rsid w:val="003C19CB"/>
    <w:rsid w:val="003E5B6F"/>
    <w:rsid w:val="004007E1"/>
    <w:rsid w:val="004179E7"/>
    <w:rsid w:val="00422F7C"/>
    <w:rsid w:val="00463EE0"/>
    <w:rsid w:val="00481961"/>
    <w:rsid w:val="004A7D1A"/>
    <w:rsid w:val="004B1D64"/>
    <w:rsid w:val="004B4BAF"/>
    <w:rsid w:val="004B5CB0"/>
    <w:rsid w:val="004D007E"/>
    <w:rsid w:val="004D7C29"/>
    <w:rsid w:val="004E016C"/>
    <w:rsid w:val="004E5FA3"/>
    <w:rsid w:val="004F07DC"/>
    <w:rsid w:val="004F0BB4"/>
    <w:rsid w:val="00522521"/>
    <w:rsid w:val="00523A78"/>
    <w:rsid w:val="005875F9"/>
    <w:rsid w:val="005B3754"/>
    <w:rsid w:val="005C239D"/>
    <w:rsid w:val="005C4D94"/>
    <w:rsid w:val="005C5DF0"/>
    <w:rsid w:val="005C7DF9"/>
    <w:rsid w:val="005D32F4"/>
    <w:rsid w:val="005D332B"/>
    <w:rsid w:val="005E068A"/>
    <w:rsid w:val="00614748"/>
    <w:rsid w:val="00620618"/>
    <w:rsid w:val="00650D37"/>
    <w:rsid w:val="00692B49"/>
    <w:rsid w:val="00696378"/>
    <w:rsid w:val="006A4633"/>
    <w:rsid w:val="006B0E30"/>
    <w:rsid w:val="006B7335"/>
    <w:rsid w:val="006C620B"/>
    <w:rsid w:val="006D0228"/>
    <w:rsid w:val="006D19B2"/>
    <w:rsid w:val="0070021C"/>
    <w:rsid w:val="00701055"/>
    <w:rsid w:val="00723BF4"/>
    <w:rsid w:val="0075630B"/>
    <w:rsid w:val="00757E57"/>
    <w:rsid w:val="00760A6A"/>
    <w:rsid w:val="00775838"/>
    <w:rsid w:val="00792BDA"/>
    <w:rsid w:val="007A0FEE"/>
    <w:rsid w:val="007D0322"/>
    <w:rsid w:val="007D10FD"/>
    <w:rsid w:val="007E0592"/>
    <w:rsid w:val="007E48C6"/>
    <w:rsid w:val="00821719"/>
    <w:rsid w:val="00827423"/>
    <w:rsid w:val="00842DA3"/>
    <w:rsid w:val="008452E1"/>
    <w:rsid w:val="00851B48"/>
    <w:rsid w:val="00886A3D"/>
    <w:rsid w:val="0089086A"/>
    <w:rsid w:val="008D49B3"/>
    <w:rsid w:val="008D5C5A"/>
    <w:rsid w:val="008D6E76"/>
    <w:rsid w:val="008E0806"/>
    <w:rsid w:val="008E3135"/>
    <w:rsid w:val="008E59F1"/>
    <w:rsid w:val="009318BD"/>
    <w:rsid w:val="00933778"/>
    <w:rsid w:val="009441D3"/>
    <w:rsid w:val="0095286B"/>
    <w:rsid w:val="00960847"/>
    <w:rsid w:val="00970801"/>
    <w:rsid w:val="0098290B"/>
    <w:rsid w:val="00986F0D"/>
    <w:rsid w:val="009A3823"/>
    <w:rsid w:val="009A457E"/>
    <w:rsid w:val="009A67E0"/>
    <w:rsid w:val="009D54F4"/>
    <w:rsid w:val="00A008CA"/>
    <w:rsid w:val="00A1666F"/>
    <w:rsid w:val="00A27F97"/>
    <w:rsid w:val="00A34CEE"/>
    <w:rsid w:val="00A61A90"/>
    <w:rsid w:val="00A654C6"/>
    <w:rsid w:val="00A725E4"/>
    <w:rsid w:val="00A7367C"/>
    <w:rsid w:val="00A75868"/>
    <w:rsid w:val="00A804C1"/>
    <w:rsid w:val="00A80EDF"/>
    <w:rsid w:val="00A81DE0"/>
    <w:rsid w:val="00A841F1"/>
    <w:rsid w:val="00AB3458"/>
    <w:rsid w:val="00AB5C95"/>
    <w:rsid w:val="00AE5B78"/>
    <w:rsid w:val="00AF5F03"/>
    <w:rsid w:val="00B07DD8"/>
    <w:rsid w:val="00B15942"/>
    <w:rsid w:val="00B42293"/>
    <w:rsid w:val="00B52791"/>
    <w:rsid w:val="00B5679E"/>
    <w:rsid w:val="00B62F6D"/>
    <w:rsid w:val="00B62FB6"/>
    <w:rsid w:val="00B86185"/>
    <w:rsid w:val="00B91C22"/>
    <w:rsid w:val="00B97C6C"/>
    <w:rsid w:val="00BA506E"/>
    <w:rsid w:val="00BB183F"/>
    <w:rsid w:val="00BB567A"/>
    <w:rsid w:val="00BB6B4F"/>
    <w:rsid w:val="00BC358A"/>
    <w:rsid w:val="00BC785C"/>
    <w:rsid w:val="00BD02D0"/>
    <w:rsid w:val="00BD09BE"/>
    <w:rsid w:val="00BD1556"/>
    <w:rsid w:val="00BE2025"/>
    <w:rsid w:val="00BE7025"/>
    <w:rsid w:val="00BF093B"/>
    <w:rsid w:val="00BF1D8B"/>
    <w:rsid w:val="00BF331F"/>
    <w:rsid w:val="00BF48B0"/>
    <w:rsid w:val="00C04E4D"/>
    <w:rsid w:val="00C119CC"/>
    <w:rsid w:val="00C149F2"/>
    <w:rsid w:val="00C14D07"/>
    <w:rsid w:val="00C35D48"/>
    <w:rsid w:val="00C54112"/>
    <w:rsid w:val="00C602AE"/>
    <w:rsid w:val="00C6133F"/>
    <w:rsid w:val="00C653B8"/>
    <w:rsid w:val="00C73996"/>
    <w:rsid w:val="00C771F9"/>
    <w:rsid w:val="00C85006"/>
    <w:rsid w:val="00CA2B76"/>
    <w:rsid w:val="00CB6D52"/>
    <w:rsid w:val="00D115A1"/>
    <w:rsid w:val="00D235B7"/>
    <w:rsid w:val="00D32E4F"/>
    <w:rsid w:val="00D44127"/>
    <w:rsid w:val="00D47D4F"/>
    <w:rsid w:val="00D64367"/>
    <w:rsid w:val="00D64D40"/>
    <w:rsid w:val="00D6615F"/>
    <w:rsid w:val="00D7144D"/>
    <w:rsid w:val="00D77497"/>
    <w:rsid w:val="00D84912"/>
    <w:rsid w:val="00D86A8D"/>
    <w:rsid w:val="00D91CA8"/>
    <w:rsid w:val="00D947C6"/>
    <w:rsid w:val="00DB10F8"/>
    <w:rsid w:val="00DC6401"/>
    <w:rsid w:val="00DD1C16"/>
    <w:rsid w:val="00DE0EA7"/>
    <w:rsid w:val="00DE6BDF"/>
    <w:rsid w:val="00E05368"/>
    <w:rsid w:val="00E13715"/>
    <w:rsid w:val="00E17D03"/>
    <w:rsid w:val="00E23545"/>
    <w:rsid w:val="00E25C4A"/>
    <w:rsid w:val="00E2663B"/>
    <w:rsid w:val="00E33206"/>
    <w:rsid w:val="00E6373B"/>
    <w:rsid w:val="00E6458D"/>
    <w:rsid w:val="00E65C77"/>
    <w:rsid w:val="00E70207"/>
    <w:rsid w:val="00E87FB0"/>
    <w:rsid w:val="00E90C05"/>
    <w:rsid w:val="00E9499E"/>
    <w:rsid w:val="00E963E1"/>
    <w:rsid w:val="00E96440"/>
    <w:rsid w:val="00EA1955"/>
    <w:rsid w:val="00EB48C4"/>
    <w:rsid w:val="00EC37C0"/>
    <w:rsid w:val="00EC5758"/>
    <w:rsid w:val="00ED193E"/>
    <w:rsid w:val="00ED5B0F"/>
    <w:rsid w:val="00ED6EBB"/>
    <w:rsid w:val="00EE147D"/>
    <w:rsid w:val="00EF2810"/>
    <w:rsid w:val="00EF6140"/>
    <w:rsid w:val="00EF6298"/>
    <w:rsid w:val="00F051FB"/>
    <w:rsid w:val="00F16EC7"/>
    <w:rsid w:val="00F233FC"/>
    <w:rsid w:val="00F2621A"/>
    <w:rsid w:val="00F342F5"/>
    <w:rsid w:val="00F63E4C"/>
    <w:rsid w:val="00F74218"/>
    <w:rsid w:val="00F80CF8"/>
    <w:rsid w:val="00F812F6"/>
    <w:rsid w:val="00F829E6"/>
    <w:rsid w:val="00F84D8D"/>
    <w:rsid w:val="00FA231A"/>
    <w:rsid w:val="00FA412E"/>
    <w:rsid w:val="00FA4548"/>
    <w:rsid w:val="00FA76D2"/>
    <w:rsid w:val="00FB2570"/>
    <w:rsid w:val="00FC78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62B65"/>
  <w15:chartTrackingRefBased/>
  <w15:docId w15:val="{3B0A7294-D9AF-4617-A739-3F1926609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FAE"/>
    <w:pPr>
      <w:tabs>
        <w:tab w:val="center" w:pos="4153"/>
        <w:tab w:val="right" w:pos="8306"/>
      </w:tabs>
      <w:snapToGrid w:val="0"/>
    </w:pPr>
    <w:rPr>
      <w:sz w:val="20"/>
      <w:szCs w:val="20"/>
    </w:rPr>
  </w:style>
  <w:style w:type="character" w:customStyle="1" w:styleId="a4">
    <w:name w:val="頁首 字元"/>
    <w:basedOn w:val="a0"/>
    <w:link w:val="a3"/>
    <w:uiPriority w:val="99"/>
    <w:rsid w:val="000A2FAE"/>
    <w:rPr>
      <w:sz w:val="20"/>
      <w:szCs w:val="20"/>
    </w:rPr>
  </w:style>
  <w:style w:type="paragraph" w:styleId="a5">
    <w:name w:val="footer"/>
    <w:basedOn w:val="a"/>
    <w:link w:val="a6"/>
    <w:uiPriority w:val="99"/>
    <w:unhideWhenUsed/>
    <w:rsid w:val="000A2FAE"/>
    <w:pPr>
      <w:tabs>
        <w:tab w:val="center" w:pos="4153"/>
        <w:tab w:val="right" w:pos="8306"/>
      </w:tabs>
      <w:snapToGrid w:val="0"/>
    </w:pPr>
    <w:rPr>
      <w:sz w:val="20"/>
      <w:szCs w:val="20"/>
    </w:rPr>
  </w:style>
  <w:style w:type="character" w:customStyle="1" w:styleId="a6">
    <w:name w:val="頁尾 字元"/>
    <w:basedOn w:val="a0"/>
    <w:link w:val="a5"/>
    <w:uiPriority w:val="99"/>
    <w:rsid w:val="000A2FA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53616">
      <w:bodyDiv w:val="1"/>
      <w:marLeft w:val="0"/>
      <w:marRight w:val="0"/>
      <w:marTop w:val="0"/>
      <w:marBottom w:val="0"/>
      <w:divBdr>
        <w:top w:val="none" w:sz="0" w:space="0" w:color="auto"/>
        <w:left w:val="none" w:sz="0" w:space="0" w:color="auto"/>
        <w:bottom w:val="none" w:sz="0" w:space="0" w:color="auto"/>
        <w:right w:val="none" w:sz="0" w:space="0" w:color="auto"/>
      </w:divBdr>
    </w:div>
    <w:div w:id="197545630">
      <w:bodyDiv w:val="1"/>
      <w:marLeft w:val="0"/>
      <w:marRight w:val="0"/>
      <w:marTop w:val="0"/>
      <w:marBottom w:val="0"/>
      <w:divBdr>
        <w:top w:val="none" w:sz="0" w:space="0" w:color="auto"/>
        <w:left w:val="none" w:sz="0" w:space="0" w:color="auto"/>
        <w:bottom w:val="none" w:sz="0" w:space="0" w:color="auto"/>
        <w:right w:val="none" w:sz="0" w:space="0" w:color="auto"/>
      </w:divBdr>
      <w:divsChild>
        <w:div w:id="404885283">
          <w:marLeft w:val="346"/>
          <w:marRight w:val="0"/>
          <w:marTop w:val="20"/>
          <w:marBottom w:val="20"/>
          <w:divBdr>
            <w:top w:val="none" w:sz="0" w:space="0" w:color="auto"/>
            <w:left w:val="none" w:sz="0" w:space="0" w:color="auto"/>
            <w:bottom w:val="none" w:sz="0" w:space="0" w:color="auto"/>
            <w:right w:val="none" w:sz="0" w:space="0" w:color="auto"/>
          </w:divBdr>
        </w:div>
        <w:div w:id="1486123371">
          <w:marLeft w:val="806"/>
          <w:marRight w:val="0"/>
          <w:marTop w:val="20"/>
          <w:marBottom w:val="20"/>
          <w:divBdr>
            <w:top w:val="none" w:sz="0" w:space="0" w:color="auto"/>
            <w:left w:val="none" w:sz="0" w:space="0" w:color="auto"/>
            <w:bottom w:val="none" w:sz="0" w:space="0" w:color="auto"/>
            <w:right w:val="none" w:sz="0" w:space="0" w:color="auto"/>
          </w:divBdr>
        </w:div>
        <w:div w:id="1792481369">
          <w:marLeft w:val="806"/>
          <w:marRight w:val="0"/>
          <w:marTop w:val="20"/>
          <w:marBottom w:val="20"/>
          <w:divBdr>
            <w:top w:val="none" w:sz="0" w:space="0" w:color="auto"/>
            <w:left w:val="none" w:sz="0" w:space="0" w:color="auto"/>
            <w:bottom w:val="none" w:sz="0" w:space="0" w:color="auto"/>
            <w:right w:val="none" w:sz="0" w:space="0" w:color="auto"/>
          </w:divBdr>
        </w:div>
      </w:divsChild>
    </w:div>
    <w:div w:id="290599739">
      <w:bodyDiv w:val="1"/>
      <w:marLeft w:val="0"/>
      <w:marRight w:val="0"/>
      <w:marTop w:val="0"/>
      <w:marBottom w:val="0"/>
      <w:divBdr>
        <w:top w:val="none" w:sz="0" w:space="0" w:color="auto"/>
        <w:left w:val="none" w:sz="0" w:space="0" w:color="auto"/>
        <w:bottom w:val="none" w:sz="0" w:space="0" w:color="auto"/>
        <w:right w:val="none" w:sz="0" w:space="0" w:color="auto"/>
      </w:divBdr>
    </w:div>
    <w:div w:id="299725120">
      <w:bodyDiv w:val="1"/>
      <w:marLeft w:val="0"/>
      <w:marRight w:val="0"/>
      <w:marTop w:val="0"/>
      <w:marBottom w:val="0"/>
      <w:divBdr>
        <w:top w:val="none" w:sz="0" w:space="0" w:color="auto"/>
        <w:left w:val="none" w:sz="0" w:space="0" w:color="auto"/>
        <w:bottom w:val="none" w:sz="0" w:space="0" w:color="auto"/>
        <w:right w:val="none" w:sz="0" w:space="0" w:color="auto"/>
      </w:divBdr>
    </w:div>
    <w:div w:id="372268330">
      <w:bodyDiv w:val="1"/>
      <w:marLeft w:val="0"/>
      <w:marRight w:val="0"/>
      <w:marTop w:val="0"/>
      <w:marBottom w:val="0"/>
      <w:divBdr>
        <w:top w:val="none" w:sz="0" w:space="0" w:color="auto"/>
        <w:left w:val="none" w:sz="0" w:space="0" w:color="auto"/>
        <w:bottom w:val="none" w:sz="0" w:space="0" w:color="auto"/>
        <w:right w:val="none" w:sz="0" w:space="0" w:color="auto"/>
      </w:divBdr>
    </w:div>
    <w:div w:id="444615475">
      <w:bodyDiv w:val="1"/>
      <w:marLeft w:val="0"/>
      <w:marRight w:val="0"/>
      <w:marTop w:val="0"/>
      <w:marBottom w:val="0"/>
      <w:divBdr>
        <w:top w:val="none" w:sz="0" w:space="0" w:color="auto"/>
        <w:left w:val="none" w:sz="0" w:space="0" w:color="auto"/>
        <w:bottom w:val="none" w:sz="0" w:space="0" w:color="auto"/>
        <w:right w:val="none" w:sz="0" w:space="0" w:color="auto"/>
      </w:divBdr>
    </w:div>
    <w:div w:id="700282378">
      <w:bodyDiv w:val="1"/>
      <w:marLeft w:val="0"/>
      <w:marRight w:val="0"/>
      <w:marTop w:val="0"/>
      <w:marBottom w:val="0"/>
      <w:divBdr>
        <w:top w:val="none" w:sz="0" w:space="0" w:color="auto"/>
        <w:left w:val="none" w:sz="0" w:space="0" w:color="auto"/>
        <w:bottom w:val="none" w:sz="0" w:space="0" w:color="auto"/>
        <w:right w:val="none" w:sz="0" w:space="0" w:color="auto"/>
      </w:divBdr>
    </w:div>
    <w:div w:id="727069837">
      <w:bodyDiv w:val="1"/>
      <w:marLeft w:val="0"/>
      <w:marRight w:val="0"/>
      <w:marTop w:val="0"/>
      <w:marBottom w:val="0"/>
      <w:divBdr>
        <w:top w:val="none" w:sz="0" w:space="0" w:color="auto"/>
        <w:left w:val="none" w:sz="0" w:space="0" w:color="auto"/>
        <w:bottom w:val="none" w:sz="0" w:space="0" w:color="auto"/>
        <w:right w:val="none" w:sz="0" w:space="0" w:color="auto"/>
      </w:divBdr>
    </w:div>
    <w:div w:id="800611859">
      <w:bodyDiv w:val="1"/>
      <w:marLeft w:val="0"/>
      <w:marRight w:val="0"/>
      <w:marTop w:val="0"/>
      <w:marBottom w:val="0"/>
      <w:divBdr>
        <w:top w:val="none" w:sz="0" w:space="0" w:color="auto"/>
        <w:left w:val="none" w:sz="0" w:space="0" w:color="auto"/>
        <w:bottom w:val="none" w:sz="0" w:space="0" w:color="auto"/>
        <w:right w:val="none" w:sz="0" w:space="0" w:color="auto"/>
      </w:divBdr>
    </w:div>
    <w:div w:id="899288754">
      <w:bodyDiv w:val="1"/>
      <w:marLeft w:val="0"/>
      <w:marRight w:val="0"/>
      <w:marTop w:val="0"/>
      <w:marBottom w:val="0"/>
      <w:divBdr>
        <w:top w:val="none" w:sz="0" w:space="0" w:color="auto"/>
        <w:left w:val="none" w:sz="0" w:space="0" w:color="auto"/>
        <w:bottom w:val="none" w:sz="0" w:space="0" w:color="auto"/>
        <w:right w:val="none" w:sz="0" w:space="0" w:color="auto"/>
      </w:divBdr>
    </w:div>
    <w:div w:id="925460404">
      <w:bodyDiv w:val="1"/>
      <w:marLeft w:val="0"/>
      <w:marRight w:val="0"/>
      <w:marTop w:val="0"/>
      <w:marBottom w:val="0"/>
      <w:divBdr>
        <w:top w:val="none" w:sz="0" w:space="0" w:color="auto"/>
        <w:left w:val="none" w:sz="0" w:space="0" w:color="auto"/>
        <w:bottom w:val="none" w:sz="0" w:space="0" w:color="auto"/>
        <w:right w:val="none" w:sz="0" w:space="0" w:color="auto"/>
      </w:divBdr>
    </w:div>
    <w:div w:id="1264652480">
      <w:bodyDiv w:val="1"/>
      <w:marLeft w:val="0"/>
      <w:marRight w:val="0"/>
      <w:marTop w:val="0"/>
      <w:marBottom w:val="0"/>
      <w:divBdr>
        <w:top w:val="none" w:sz="0" w:space="0" w:color="auto"/>
        <w:left w:val="none" w:sz="0" w:space="0" w:color="auto"/>
        <w:bottom w:val="none" w:sz="0" w:space="0" w:color="auto"/>
        <w:right w:val="none" w:sz="0" w:space="0" w:color="auto"/>
      </w:divBdr>
    </w:div>
    <w:div w:id="1350065634">
      <w:bodyDiv w:val="1"/>
      <w:marLeft w:val="0"/>
      <w:marRight w:val="0"/>
      <w:marTop w:val="0"/>
      <w:marBottom w:val="0"/>
      <w:divBdr>
        <w:top w:val="none" w:sz="0" w:space="0" w:color="auto"/>
        <w:left w:val="none" w:sz="0" w:space="0" w:color="auto"/>
        <w:bottom w:val="none" w:sz="0" w:space="0" w:color="auto"/>
        <w:right w:val="none" w:sz="0" w:space="0" w:color="auto"/>
      </w:divBdr>
    </w:div>
    <w:div w:id="1453130358">
      <w:bodyDiv w:val="1"/>
      <w:marLeft w:val="0"/>
      <w:marRight w:val="0"/>
      <w:marTop w:val="0"/>
      <w:marBottom w:val="0"/>
      <w:divBdr>
        <w:top w:val="none" w:sz="0" w:space="0" w:color="auto"/>
        <w:left w:val="none" w:sz="0" w:space="0" w:color="auto"/>
        <w:bottom w:val="none" w:sz="0" w:space="0" w:color="auto"/>
        <w:right w:val="none" w:sz="0" w:space="0" w:color="auto"/>
      </w:divBdr>
    </w:div>
    <w:div w:id="1486780432">
      <w:bodyDiv w:val="1"/>
      <w:marLeft w:val="0"/>
      <w:marRight w:val="0"/>
      <w:marTop w:val="0"/>
      <w:marBottom w:val="0"/>
      <w:divBdr>
        <w:top w:val="none" w:sz="0" w:space="0" w:color="auto"/>
        <w:left w:val="none" w:sz="0" w:space="0" w:color="auto"/>
        <w:bottom w:val="none" w:sz="0" w:space="0" w:color="auto"/>
        <w:right w:val="none" w:sz="0" w:space="0" w:color="auto"/>
      </w:divBdr>
    </w:div>
    <w:div w:id="1497303763">
      <w:bodyDiv w:val="1"/>
      <w:marLeft w:val="0"/>
      <w:marRight w:val="0"/>
      <w:marTop w:val="0"/>
      <w:marBottom w:val="0"/>
      <w:divBdr>
        <w:top w:val="none" w:sz="0" w:space="0" w:color="auto"/>
        <w:left w:val="none" w:sz="0" w:space="0" w:color="auto"/>
        <w:bottom w:val="none" w:sz="0" w:space="0" w:color="auto"/>
        <w:right w:val="none" w:sz="0" w:space="0" w:color="auto"/>
      </w:divBdr>
    </w:div>
    <w:div w:id="1717856243">
      <w:bodyDiv w:val="1"/>
      <w:marLeft w:val="0"/>
      <w:marRight w:val="0"/>
      <w:marTop w:val="0"/>
      <w:marBottom w:val="0"/>
      <w:divBdr>
        <w:top w:val="none" w:sz="0" w:space="0" w:color="auto"/>
        <w:left w:val="none" w:sz="0" w:space="0" w:color="auto"/>
        <w:bottom w:val="none" w:sz="0" w:space="0" w:color="auto"/>
        <w:right w:val="none" w:sz="0" w:space="0" w:color="auto"/>
      </w:divBdr>
    </w:div>
    <w:div w:id="1808426455">
      <w:bodyDiv w:val="1"/>
      <w:marLeft w:val="0"/>
      <w:marRight w:val="0"/>
      <w:marTop w:val="0"/>
      <w:marBottom w:val="0"/>
      <w:divBdr>
        <w:top w:val="none" w:sz="0" w:space="0" w:color="auto"/>
        <w:left w:val="none" w:sz="0" w:space="0" w:color="auto"/>
        <w:bottom w:val="none" w:sz="0" w:space="0" w:color="auto"/>
        <w:right w:val="none" w:sz="0" w:space="0" w:color="auto"/>
      </w:divBdr>
    </w:div>
    <w:div w:id="201903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F2697-8913-4C8A-B131-D45E21154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roger1127.yeh@GUCNB890</dc:creator>
  <cp:keywords/>
  <dc:description/>
  <cp:lastModifiedBy>shawn.yang</cp:lastModifiedBy>
  <cp:revision>69</cp:revision>
  <dcterms:created xsi:type="dcterms:W3CDTF">2024-12-26T02:33:00Z</dcterms:created>
  <dcterms:modified xsi:type="dcterms:W3CDTF">2025-01-15T08:16:00Z</dcterms:modified>
</cp:coreProperties>
</file>