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28E" w:rsidRPr="00FD728E" w:rsidRDefault="00FD728E" w:rsidP="00FD728E">
      <w:pPr>
        <w:rPr>
          <w:sz w:val="22"/>
        </w:rPr>
      </w:pPr>
      <w:r w:rsidRPr="00FD728E">
        <w:rPr>
          <w:sz w:val="22"/>
        </w:rPr>
        <w:t>GUC’s multi-die interLink (GLink-2.5D/-3D) and UCIe IP provide the world’s best-in-class solution for high-bandwidth, low-power, low-latency multi-channel interconnection in a package for applications such as High Performance Computing, Data Center, Artificial Intelligence and Networking.</w:t>
      </w:r>
    </w:p>
    <w:p w:rsidR="00FD728E" w:rsidRPr="00FD728E" w:rsidRDefault="00FD728E" w:rsidP="00FD728E">
      <w:pPr>
        <w:rPr>
          <w:sz w:val="22"/>
        </w:rPr>
      </w:pPr>
    </w:p>
    <w:p w:rsidR="00FD728E" w:rsidRPr="00FD728E" w:rsidRDefault="00FD728E" w:rsidP="00FD728E">
      <w:pPr>
        <w:rPr>
          <w:sz w:val="22"/>
        </w:rPr>
      </w:pPr>
      <w:r w:rsidRPr="00FD728E">
        <w:rPr>
          <w:sz w:val="22"/>
        </w:rPr>
        <w:t>GLink-2.5D IP utilizes single-ended signaling on parallel bus with DDR clock forwarding. This allows for up to 8/16Gbps per pin, consuming only 0.25pJ/bit on TSMC’s RDL-based InFO (Integrated-Fan-Out) or CoWoS (Chip-on-Wafer-on-Substrate). One slice has 32 full-duplex lanes, and one PHY has 8 slices with a maximum bandwidth of 2/4Tbps. For the most advanced GLink version, one slice will have 56 full-duplex lanes, and one PHY has 8 slices with a maximum bandwidth of 7.5Tbps.</w:t>
      </w:r>
    </w:p>
    <w:p w:rsidR="00FD728E" w:rsidRPr="00FD728E" w:rsidRDefault="00FD728E" w:rsidP="00FD728E">
      <w:pPr>
        <w:rPr>
          <w:sz w:val="22"/>
        </w:rPr>
      </w:pPr>
    </w:p>
    <w:p w:rsidR="008B1396" w:rsidRDefault="00FD728E" w:rsidP="00FD728E">
      <w:pPr>
        <w:rPr>
          <w:sz w:val="22"/>
        </w:rPr>
      </w:pPr>
      <w:r w:rsidRPr="00FD728E">
        <w:rPr>
          <w:sz w:val="22"/>
        </w:rPr>
        <w:t xml:space="preserve">GUC leverages its multi-year, multi-generation GLink-2.5D experience to the development of UCIe IP. GUC’s UCIe </w:t>
      </w:r>
      <w:r w:rsidR="003962C6">
        <w:rPr>
          <w:sz w:val="22"/>
        </w:rPr>
        <w:t xml:space="preserve">32G </w:t>
      </w:r>
      <w:r w:rsidRPr="00FD728E">
        <w:rPr>
          <w:sz w:val="22"/>
        </w:rPr>
        <w:t>IP follows the UCIe standard to provide industry-leading, 32G per lane die-to-die inter connect, achieving the best beachfront efficiency of 5+ Tbps/mm in full duplex.</w:t>
      </w:r>
      <w:r w:rsidR="003962C6">
        <w:rPr>
          <w:sz w:val="22"/>
        </w:rPr>
        <w:t xml:space="preserve"> The new generation UCIe </w:t>
      </w:r>
      <w:r w:rsidR="00E94D9E">
        <w:rPr>
          <w:sz w:val="22"/>
        </w:rPr>
        <w:t xml:space="preserve">LP 40G </w:t>
      </w:r>
      <w:r w:rsidR="003962C6">
        <w:rPr>
          <w:sz w:val="22"/>
        </w:rPr>
        <w:t xml:space="preserve">even achieves </w:t>
      </w:r>
      <w:r w:rsidR="003962C6" w:rsidRPr="003962C6">
        <w:rPr>
          <w:sz w:val="22"/>
        </w:rPr>
        <w:t xml:space="preserve">beyond UCIe’s highest speed, for AI/HPC/xPU/Networking applications. UCIe </w:t>
      </w:r>
      <w:r w:rsidR="00E94D9E">
        <w:rPr>
          <w:sz w:val="22"/>
        </w:rPr>
        <w:t xml:space="preserve">LP </w:t>
      </w:r>
      <w:r w:rsidR="003962C6" w:rsidRPr="003962C6">
        <w:rPr>
          <w:sz w:val="22"/>
        </w:rPr>
        <w:t>40G chiplet interface provides industry leading bandwidth density 1,645 GB/s per mm of die edge. The IP supports any speed up to 40Gbps and uses Adaptive Voltage Scaling (AVS) to reduce supply voltage achieving 2x better power efficiency for required speed.</w:t>
      </w:r>
      <w:r w:rsidR="00E94D9E">
        <w:rPr>
          <w:sz w:val="22"/>
        </w:rPr>
        <w:t xml:space="preserve"> For supporting SoIC-X face-to-</w:t>
      </w:r>
      <w:r w:rsidR="00082987">
        <w:rPr>
          <w:sz w:val="22"/>
        </w:rPr>
        <w:t>face stacking, GUC also provides</w:t>
      </w:r>
      <w:r w:rsidR="00E94D9E">
        <w:rPr>
          <w:sz w:val="22"/>
        </w:rPr>
        <w:t xml:space="preserve"> UCIe LP/Up IP, i.e. face-up IP for using in the bottom die of SoIC-X.</w:t>
      </w:r>
      <w:r w:rsidR="00E323FA">
        <w:rPr>
          <w:sz w:val="22"/>
        </w:rPr>
        <w:t xml:space="preserve"> </w:t>
      </w:r>
    </w:p>
    <w:p w:rsidR="008B1396" w:rsidRDefault="008B1396" w:rsidP="00FD728E">
      <w:pPr>
        <w:rPr>
          <w:sz w:val="22"/>
        </w:rPr>
      </w:pPr>
    </w:p>
    <w:p w:rsidR="00751E0C" w:rsidRDefault="008B1396" w:rsidP="00FD728E">
      <w:pPr>
        <w:rPr>
          <w:sz w:val="22"/>
        </w:rPr>
      </w:pPr>
      <w:r>
        <w:rPr>
          <w:sz w:val="22"/>
        </w:rPr>
        <w:t xml:space="preserve">UCIe consortium is proposing to extend UCIe spec for higher data rates for meeting rapidly growing bandwidth and performance needs due to Gen-AI trend. GUC takes the lead to develop </w:t>
      </w:r>
      <w:r w:rsidR="00D9053C">
        <w:rPr>
          <w:sz w:val="22"/>
        </w:rPr>
        <w:t xml:space="preserve">UCIe 64G version </w:t>
      </w:r>
      <w:r>
        <w:rPr>
          <w:sz w:val="22"/>
        </w:rPr>
        <w:t xml:space="preserve">and the solution </w:t>
      </w:r>
      <w:r w:rsidR="00D9053C">
        <w:rPr>
          <w:sz w:val="22"/>
        </w:rPr>
        <w:t xml:space="preserve">is expected to be ready in 4Q25 </w:t>
      </w:r>
      <w:r w:rsidR="00E323FA">
        <w:rPr>
          <w:sz w:val="22"/>
        </w:rPr>
        <w:t xml:space="preserve">for serving GUC </w:t>
      </w:r>
      <w:bookmarkStart w:id="0" w:name="_GoBack"/>
      <w:bookmarkEnd w:id="0"/>
      <w:r w:rsidR="00E323FA">
        <w:rPr>
          <w:sz w:val="22"/>
        </w:rPr>
        <w:t>customers.</w:t>
      </w:r>
    </w:p>
    <w:p w:rsidR="00FD728E" w:rsidRDefault="00FD728E" w:rsidP="00FD728E">
      <w:pPr>
        <w:rPr>
          <w:sz w:val="22"/>
        </w:rPr>
      </w:pPr>
    </w:p>
    <w:p w:rsidR="0086011C" w:rsidRDefault="0040588E" w:rsidP="00836577">
      <w:pPr>
        <w:rPr>
          <w:sz w:val="22"/>
        </w:rPr>
      </w:pPr>
      <w:r>
        <w:rPr>
          <w:noProof/>
        </w:rPr>
        <w:lastRenderedPageBreak/>
        <w:drawing>
          <wp:inline distT="0" distB="0" distL="0" distR="0" wp14:anchorId="7A60E26A" wp14:editId="691A2D19">
            <wp:extent cx="5274310" cy="2823210"/>
            <wp:effectExtent l="0" t="0" r="254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2823210"/>
                    </a:xfrm>
                    <a:prstGeom prst="rect">
                      <a:avLst/>
                    </a:prstGeom>
                  </pic:spPr>
                </pic:pic>
              </a:graphicData>
            </a:graphic>
          </wp:inline>
        </w:drawing>
      </w:r>
    </w:p>
    <w:p w:rsidR="00AF3EB7" w:rsidRPr="00E73884" w:rsidRDefault="00E73884" w:rsidP="00836577">
      <w:pPr>
        <w:pStyle w:val="a3"/>
        <w:ind w:leftChars="0"/>
        <w:rPr>
          <w:color w:val="FF0000"/>
          <w:sz w:val="22"/>
        </w:rPr>
      </w:pPr>
      <w:r w:rsidRPr="00E73884">
        <w:rPr>
          <w:rFonts w:hint="eastAsia"/>
          <w:color w:val="FF0000"/>
          <w:sz w:val="22"/>
        </w:rPr>
        <w:t>(GLink in green Hexagon, please change to UCIe / GLink</w:t>
      </w:r>
      <w:r w:rsidRPr="00E73884">
        <w:rPr>
          <w:color w:val="FF0000"/>
          <w:sz w:val="22"/>
        </w:rPr>
        <w:t>)</w:t>
      </w:r>
    </w:p>
    <w:p w:rsidR="00AF3EB7" w:rsidRPr="00AF3EB7" w:rsidRDefault="00AF3EB7" w:rsidP="00836577">
      <w:pPr>
        <w:pStyle w:val="a3"/>
        <w:ind w:leftChars="0"/>
        <w:rPr>
          <w:sz w:val="22"/>
        </w:rPr>
      </w:pPr>
    </w:p>
    <w:p w:rsidR="00AF3EB7" w:rsidRDefault="00AF3EB7" w:rsidP="00836577">
      <w:pPr>
        <w:pStyle w:val="a3"/>
        <w:ind w:leftChars="0"/>
        <w:rPr>
          <w:sz w:val="22"/>
        </w:rPr>
      </w:pPr>
      <w:r w:rsidRPr="00AF3EB7">
        <w:rPr>
          <w:sz w:val="22"/>
        </w:rPr>
        <w:t>Die-to-Die (GLink-2.5D) IP</w:t>
      </w:r>
    </w:p>
    <w:tbl>
      <w:tblPr>
        <w:tblStyle w:val="a4"/>
        <w:tblW w:w="0" w:type="auto"/>
        <w:tblInd w:w="480" w:type="dxa"/>
        <w:tblLook w:val="04A0" w:firstRow="1" w:lastRow="0" w:firstColumn="1" w:lastColumn="0" w:noHBand="0" w:noVBand="1"/>
      </w:tblPr>
      <w:tblGrid>
        <w:gridCol w:w="2188"/>
        <w:gridCol w:w="1940"/>
        <w:gridCol w:w="2103"/>
        <w:gridCol w:w="1585"/>
      </w:tblGrid>
      <w:tr w:rsidR="0040588E" w:rsidRPr="00AF3EB7" w:rsidTr="0040588E">
        <w:tc>
          <w:tcPr>
            <w:tcW w:w="2188" w:type="dxa"/>
          </w:tcPr>
          <w:p w:rsidR="0040588E" w:rsidRPr="00AF3EB7" w:rsidRDefault="0040588E" w:rsidP="00B4142D">
            <w:pPr>
              <w:pStyle w:val="a3"/>
              <w:ind w:leftChars="0" w:left="0"/>
              <w:rPr>
                <w:sz w:val="22"/>
              </w:rPr>
            </w:pPr>
            <w:r w:rsidRPr="00AF3EB7">
              <w:rPr>
                <w:rFonts w:ascii="Arial" w:hAnsi="Arial" w:cs="Arial"/>
                <w:b/>
                <w:bCs/>
                <w:color w:val="333333"/>
                <w:sz w:val="22"/>
              </w:rPr>
              <w:t>Part_Number</w:t>
            </w:r>
          </w:p>
        </w:tc>
        <w:tc>
          <w:tcPr>
            <w:tcW w:w="1940" w:type="dxa"/>
          </w:tcPr>
          <w:p w:rsidR="0040588E" w:rsidRPr="00AF3EB7" w:rsidRDefault="0040588E" w:rsidP="00B4142D">
            <w:pPr>
              <w:pStyle w:val="a3"/>
              <w:ind w:leftChars="0" w:left="0"/>
              <w:rPr>
                <w:sz w:val="22"/>
              </w:rPr>
            </w:pPr>
            <w:r w:rsidRPr="00AF3EB7">
              <w:rPr>
                <w:rFonts w:ascii="Arial" w:hAnsi="Arial" w:cs="Arial"/>
                <w:b/>
                <w:bCs/>
                <w:color w:val="333333"/>
                <w:sz w:val="22"/>
              </w:rPr>
              <w:t>Process</w:t>
            </w:r>
          </w:p>
        </w:tc>
        <w:tc>
          <w:tcPr>
            <w:tcW w:w="2103" w:type="dxa"/>
          </w:tcPr>
          <w:p w:rsidR="0040588E" w:rsidRPr="00AF3EB7" w:rsidRDefault="0040588E" w:rsidP="00B4142D">
            <w:pPr>
              <w:pStyle w:val="a3"/>
              <w:ind w:leftChars="0" w:left="0"/>
              <w:rPr>
                <w:sz w:val="22"/>
              </w:rPr>
            </w:pPr>
            <w:r w:rsidRPr="00AF3EB7">
              <w:rPr>
                <w:rFonts w:ascii="Arial" w:hAnsi="Arial" w:cs="Arial"/>
                <w:b/>
                <w:bCs/>
                <w:color w:val="333333"/>
                <w:sz w:val="22"/>
              </w:rPr>
              <w:t>Description</w:t>
            </w:r>
          </w:p>
        </w:tc>
        <w:tc>
          <w:tcPr>
            <w:tcW w:w="1585" w:type="dxa"/>
          </w:tcPr>
          <w:p w:rsidR="0040588E" w:rsidRPr="00AF3EB7" w:rsidRDefault="0040588E" w:rsidP="00B4142D">
            <w:pPr>
              <w:pStyle w:val="a3"/>
              <w:ind w:leftChars="0" w:left="0"/>
              <w:rPr>
                <w:rFonts w:ascii="Arial" w:hAnsi="Arial" w:cs="Arial"/>
                <w:b/>
                <w:bCs/>
                <w:color w:val="333333"/>
                <w:sz w:val="22"/>
              </w:rPr>
            </w:pPr>
            <w:r>
              <w:rPr>
                <w:rFonts w:ascii="Arial" w:hAnsi="Arial" w:cs="Arial" w:hint="eastAsia"/>
                <w:b/>
                <w:bCs/>
                <w:color w:val="333333"/>
                <w:sz w:val="22"/>
              </w:rPr>
              <w:t>Dow</w:t>
            </w:r>
            <w:r>
              <w:rPr>
                <w:rFonts w:ascii="Arial" w:hAnsi="Arial" w:cs="Arial"/>
                <w:b/>
                <w:bCs/>
                <w:color w:val="333333"/>
                <w:sz w:val="22"/>
              </w:rPr>
              <w:t>nload</w:t>
            </w:r>
          </w:p>
        </w:tc>
      </w:tr>
      <w:tr w:rsidR="0040588E" w:rsidRPr="00AF3EB7" w:rsidTr="0040588E">
        <w:tc>
          <w:tcPr>
            <w:tcW w:w="2188" w:type="dxa"/>
          </w:tcPr>
          <w:p w:rsidR="0040588E" w:rsidRPr="00AF3EB7" w:rsidRDefault="0040588E" w:rsidP="00B4142D">
            <w:pPr>
              <w:pStyle w:val="a3"/>
              <w:ind w:leftChars="0" w:left="0"/>
              <w:rPr>
                <w:sz w:val="22"/>
              </w:rPr>
            </w:pPr>
            <w:r w:rsidRPr="00AF3EB7">
              <w:rPr>
                <w:rFonts w:ascii="Arial" w:hAnsi="Arial" w:cs="Arial"/>
                <w:color w:val="333333"/>
                <w:sz w:val="22"/>
              </w:rPr>
              <w:t>IGAD2DX01A</w:t>
            </w:r>
          </w:p>
        </w:tc>
        <w:tc>
          <w:tcPr>
            <w:tcW w:w="1940" w:type="dxa"/>
          </w:tcPr>
          <w:p w:rsidR="0040588E" w:rsidRPr="00AF3EB7" w:rsidRDefault="0040588E" w:rsidP="00B4142D">
            <w:pPr>
              <w:pStyle w:val="a3"/>
              <w:ind w:leftChars="0" w:left="0"/>
              <w:rPr>
                <w:sz w:val="22"/>
              </w:rPr>
            </w:pPr>
            <w:r>
              <w:rPr>
                <w:sz w:val="22"/>
              </w:rPr>
              <w:t>7nm/</w:t>
            </w:r>
            <w:r w:rsidRPr="00AF3EB7">
              <w:rPr>
                <w:rFonts w:hint="eastAsia"/>
                <w:sz w:val="22"/>
              </w:rPr>
              <w:t>6nm</w:t>
            </w:r>
          </w:p>
        </w:tc>
        <w:tc>
          <w:tcPr>
            <w:tcW w:w="2103" w:type="dxa"/>
          </w:tcPr>
          <w:p w:rsidR="0040588E" w:rsidRPr="00AF3EB7" w:rsidRDefault="0040588E" w:rsidP="00B4142D">
            <w:pPr>
              <w:pStyle w:val="a3"/>
              <w:ind w:leftChars="0" w:left="0"/>
              <w:rPr>
                <w:sz w:val="22"/>
              </w:rPr>
            </w:pPr>
            <w:r w:rsidRPr="00AF3EB7">
              <w:rPr>
                <w:rFonts w:ascii="Arial" w:hAnsi="Arial" w:cs="Arial"/>
                <w:color w:val="333333"/>
                <w:sz w:val="22"/>
              </w:rPr>
              <w:t>Die to Die Interface PHY with full-duplex 2Tbps/3mm</w:t>
            </w:r>
          </w:p>
        </w:tc>
        <w:tc>
          <w:tcPr>
            <w:tcW w:w="1585" w:type="dxa"/>
          </w:tcPr>
          <w:p w:rsidR="0040588E" w:rsidRPr="00AF3EB7" w:rsidRDefault="0040588E" w:rsidP="00B4142D">
            <w:pPr>
              <w:pStyle w:val="a3"/>
              <w:ind w:leftChars="0" w:left="0"/>
              <w:rPr>
                <w:rFonts w:ascii="Arial" w:hAnsi="Arial" w:cs="Arial"/>
                <w:color w:val="333333"/>
                <w:sz w:val="22"/>
              </w:rPr>
            </w:pPr>
          </w:p>
        </w:tc>
      </w:tr>
      <w:tr w:rsidR="0040588E" w:rsidRPr="00AF3EB7" w:rsidTr="0040588E">
        <w:tc>
          <w:tcPr>
            <w:tcW w:w="2188" w:type="dxa"/>
          </w:tcPr>
          <w:p w:rsidR="0040588E" w:rsidRPr="00AF3EB7" w:rsidRDefault="0040588E" w:rsidP="00B4142D">
            <w:pPr>
              <w:pStyle w:val="a3"/>
              <w:ind w:leftChars="0" w:left="0"/>
              <w:rPr>
                <w:sz w:val="22"/>
              </w:rPr>
            </w:pPr>
            <w:r w:rsidRPr="00AF3EB7">
              <w:rPr>
                <w:rFonts w:ascii="Arial" w:hAnsi="Arial" w:cs="Arial"/>
                <w:color w:val="333333"/>
                <w:sz w:val="22"/>
              </w:rPr>
              <w:t>IGAD2DY01A</w:t>
            </w:r>
          </w:p>
        </w:tc>
        <w:tc>
          <w:tcPr>
            <w:tcW w:w="1940" w:type="dxa"/>
          </w:tcPr>
          <w:p w:rsidR="0040588E" w:rsidRPr="00AF3EB7" w:rsidRDefault="0040588E" w:rsidP="00B4142D">
            <w:pPr>
              <w:pStyle w:val="a3"/>
              <w:ind w:leftChars="0" w:left="0"/>
              <w:rPr>
                <w:sz w:val="22"/>
              </w:rPr>
            </w:pPr>
            <w:r w:rsidRPr="00AF3EB7">
              <w:rPr>
                <w:rFonts w:hint="eastAsia"/>
                <w:sz w:val="22"/>
              </w:rPr>
              <w:t>5nm</w:t>
            </w:r>
          </w:p>
        </w:tc>
        <w:tc>
          <w:tcPr>
            <w:tcW w:w="2103" w:type="dxa"/>
          </w:tcPr>
          <w:p w:rsidR="0040588E" w:rsidRPr="00AF3EB7" w:rsidRDefault="0040588E" w:rsidP="00B4142D">
            <w:pPr>
              <w:pStyle w:val="a3"/>
              <w:ind w:leftChars="0" w:left="0"/>
              <w:rPr>
                <w:sz w:val="22"/>
              </w:rPr>
            </w:pPr>
            <w:r w:rsidRPr="00AF3EB7">
              <w:rPr>
                <w:rFonts w:ascii="Arial" w:hAnsi="Arial" w:cs="Arial"/>
                <w:color w:val="333333"/>
                <w:sz w:val="22"/>
              </w:rPr>
              <w:t>Die to Die Interface PHY with full-duplex 4Tbps/3mm</w:t>
            </w:r>
          </w:p>
        </w:tc>
        <w:tc>
          <w:tcPr>
            <w:tcW w:w="1585" w:type="dxa"/>
          </w:tcPr>
          <w:p w:rsidR="0040588E" w:rsidRPr="00AF3EB7" w:rsidRDefault="0040588E" w:rsidP="00B4142D">
            <w:pPr>
              <w:pStyle w:val="a3"/>
              <w:ind w:leftChars="0" w:left="0"/>
              <w:rPr>
                <w:rFonts w:ascii="Arial" w:hAnsi="Arial" w:cs="Arial"/>
                <w:color w:val="333333"/>
                <w:sz w:val="22"/>
              </w:rPr>
            </w:pPr>
          </w:p>
        </w:tc>
      </w:tr>
      <w:tr w:rsidR="0040588E" w:rsidRPr="00AF3EB7" w:rsidTr="0040588E">
        <w:tc>
          <w:tcPr>
            <w:tcW w:w="2188" w:type="dxa"/>
          </w:tcPr>
          <w:p w:rsidR="0040588E" w:rsidRPr="0040588E" w:rsidRDefault="0040588E" w:rsidP="0040588E">
            <w:pPr>
              <w:rPr>
                <w:rFonts w:ascii="Arial" w:hAnsi="Arial" w:cs="Arial"/>
                <w:color w:val="333333"/>
                <w:sz w:val="22"/>
              </w:rPr>
            </w:pPr>
            <w:r w:rsidRPr="0040588E">
              <w:rPr>
                <w:rFonts w:ascii="Arial" w:hAnsi="Arial" w:cs="Arial"/>
                <w:color w:val="333333"/>
                <w:sz w:val="22"/>
              </w:rPr>
              <w:t>IGAD2DY04A</w:t>
            </w:r>
          </w:p>
        </w:tc>
        <w:tc>
          <w:tcPr>
            <w:tcW w:w="1940" w:type="dxa"/>
          </w:tcPr>
          <w:p w:rsidR="0040588E" w:rsidRPr="0040588E" w:rsidRDefault="0040588E" w:rsidP="0040588E">
            <w:pPr>
              <w:rPr>
                <w:rFonts w:ascii="Arial" w:hAnsi="Arial" w:cs="Arial"/>
                <w:color w:val="333333"/>
                <w:sz w:val="22"/>
              </w:rPr>
            </w:pPr>
            <w:r w:rsidRPr="0040588E">
              <w:rPr>
                <w:rFonts w:ascii="Arial" w:hAnsi="Arial" w:cs="Arial"/>
                <w:color w:val="333333"/>
                <w:sz w:val="22"/>
              </w:rPr>
              <w:t>5nm</w:t>
            </w:r>
          </w:p>
        </w:tc>
        <w:tc>
          <w:tcPr>
            <w:tcW w:w="2103" w:type="dxa"/>
          </w:tcPr>
          <w:p w:rsidR="0040588E" w:rsidRPr="0040588E" w:rsidRDefault="0040588E" w:rsidP="0040588E">
            <w:pPr>
              <w:rPr>
                <w:rFonts w:ascii="Arial" w:hAnsi="Arial" w:cs="Arial"/>
                <w:color w:val="333333"/>
                <w:sz w:val="22"/>
              </w:rPr>
            </w:pPr>
            <w:r w:rsidRPr="0040588E">
              <w:rPr>
                <w:rFonts w:ascii="Arial" w:hAnsi="Arial" w:cs="Arial"/>
                <w:color w:val="333333"/>
                <w:sz w:val="22"/>
              </w:rPr>
              <w:t>Die to Die Interface PHY with full-duplex 7.5Tbps/3mm</w:t>
            </w:r>
          </w:p>
        </w:tc>
        <w:tc>
          <w:tcPr>
            <w:tcW w:w="1585" w:type="dxa"/>
          </w:tcPr>
          <w:p w:rsidR="0040588E" w:rsidRPr="00AF3EB7" w:rsidRDefault="0040588E" w:rsidP="0040588E">
            <w:pPr>
              <w:pStyle w:val="a3"/>
              <w:ind w:leftChars="0" w:left="0"/>
              <w:rPr>
                <w:rFonts w:ascii="Arial" w:hAnsi="Arial" w:cs="Arial"/>
                <w:color w:val="333333"/>
                <w:sz w:val="22"/>
              </w:rPr>
            </w:pPr>
          </w:p>
        </w:tc>
      </w:tr>
      <w:tr w:rsidR="0040588E" w:rsidRPr="00AF3EB7" w:rsidTr="0040588E">
        <w:tc>
          <w:tcPr>
            <w:tcW w:w="2188" w:type="dxa"/>
          </w:tcPr>
          <w:p w:rsidR="0040588E" w:rsidRPr="00973114" w:rsidRDefault="0040588E" w:rsidP="0040588E">
            <w:r w:rsidRPr="00973114">
              <w:t>IGPD2DZ01A</w:t>
            </w:r>
          </w:p>
        </w:tc>
        <w:tc>
          <w:tcPr>
            <w:tcW w:w="1940" w:type="dxa"/>
          </w:tcPr>
          <w:p w:rsidR="0040588E" w:rsidRPr="00973114" w:rsidRDefault="0040588E" w:rsidP="0040588E">
            <w:r w:rsidRPr="00973114">
              <w:t>3nm</w:t>
            </w:r>
          </w:p>
        </w:tc>
        <w:tc>
          <w:tcPr>
            <w:tcW w:w="2103" w:type="dxa"/>
          </w:tcPr>
          <w:p w:rsidR="0040588E" w:rsidRDefault="0040588E" w:rsidP="0040588E">
            <w:r w:rsidRPr="00973114">
              <w:t>Die to Die Interface PHY with full-duplex 7.5Tbps/3mm</w:t>
            </w:r>
          </w:p>
        </w:tc>
        <w:tc>
          <w:tcPr>
            <w:tcW w:w="1585" w:type="dxa"/>
          </w:tcPr>
          <w:p w:rsidR="0040588E" w:rsidRPr="00AF3EB7" w:rsidRDefault="0040588E" w:rsidP="0040588E">
            <w:pPr>
              <w:pStyle w:val="a3"/>
              <w:ind w:leftChars="0" w:left="0"/>
              <w:rPr>
                <w:rFonts w:ascii="Arial" w:hAnsi="Arial" w:cs="Arial"/>
                <w:color w:val="333333"/>
                <w:sz w:val="22"/>
              </w:rPr>
            </w:pPr>
          </w:p>
        </w:tc>
      </w:tr>
      <w:tr w:rsidR="0040588E" w:rsidRPr="00AF3EB7" w:rsidTr="0040588E">
        <w:tc>
          <w:tcPr>
            <w:tcW w:w="2188" w:type="dxa"/>
          </w:tcPr>
          <w:p w:rsidR="0040588E" w:rsidRPr="001009CF" w:rsidRDefault="0040588E" w:rsidP="0040588E">
            <w:r w:rsidRPr="001009CF">
              <w:t>IGDD2D004A</w:t>
            </w:r>
          </w:p>
        </w:tc>
        <w:tc>
          <w:tcPr>
            <w:tcW w:w="1940" w:type="dxa"/>
          </w:tcPr>
          <w:p w:rsidR="0040588E" w:rsidRPr="001009CF" w:rsidRDefault="0040588E" w:rsidP="0040588E">
            <w:r w:rsidRPr="001009CF">
              <w:t>All</w:t>
            </w:r>
          </w:p>
        </w:tc>
        <w:tc>
          <w:tcPr>
            <w:tcW w:w="2103" w:type="dxa"/>
          </w:tcPr>
          <w:p w:rsidR="0040588E" w:rsidRPr="001009CF" w:rsidRDefault="0040588E" w:rsidP="0040588E">
            <w:r w:rsidRPr="001009CF">
              <w:t>GLink Multi-Slice PCS</w:t>
            </w:r>
          </w:p>
        </w:tc>
        <w:tc>
          <w:tcPr>
            <w:tcW w:w="1585" w:type="dxa"/>
          </w:tcPr>
          <w:p w:rsidR="0040588E" w:rsidRPr="00AF3EB7" w:rsidRDefault="0040588E" w:rsidP="0040588E">
            <w:pPr>
              <w:pStyle w:val="a3"/>
              <w:ind w:leftChars="0" w:left="0"/>
              <w:rPr>
                <w:rFonts w:ascii="Arial" w:hAnsi="Arial" w:cs="Arial"/>
                <w:color w:val="333333"/>
                <w:sz w:val="22"/>
              </w:rPr>
            </w:pPr>
          </w:p>
        </w:tc>
      </w:tr>
      <w:tr w:rsidR="0040588E" w:rsidRPr="00AF3EB7" w:rsidTr="0040588E">
        <w:tc>
          <w:tcPr>
            <w:tcW w:w="2188" w:type="dxa"/>
          </w:tcPr>
          <w:p w:rsidR="0040588E" w:rsidRPr="001009CF" w:rsidRDefault="0040588E" w:rsidP="0040588E">
            <w:r w:rsidRPr="001009CF">
              <w:t>IGDD2D005A</w:t>
            </w:r>
          </w:p>
        </w:tc>
        <w:tc>
          <w:tcPr>
            <w:tcW w:w="1940" w:type="dxa"/>
          </w:tcPr>
          <w:p w:rsidR="0040588E" w:rsidRPr="001009CF" w:rsidRDefault="0040588E" w:rsidP="0040588E">
            <w:r w:rsidRPr="001009CF">
              <w:t>All</w:t>
            </w:r>
          </w:p>
        </w:tc>
        <w:tc>
          <w:tcPr>
            <w:tcW w:w="2103" w:type="dxa"/>
          </w:tcPr>
          <w:p w:rsidR="0040588E" w:rsidRPr="001009CF" w:rsidRDefault="0040588E" w:rsidP="0040588E">
            <w:r w:rsidRPr="001009CF">
              <w:t>GLink (GLink 2.x + PCS-replay) AXI Wrapper</w:t>
            </w:r>
          </w:p>
        </w:tc>
        <w:tc>
          <w:tcPr>
            <w:tcW w:w="1585" w:type="dxa"/>
          </w:tcPr>
          <w:p w:rsidR="0040588E" w:rsidRPr="00AF3EB7" w:rsidRDefault="0040588E" w:rsidP="0040588E">
            <w:pPr>
              <w:pStyle w:val="a3"/>
              <w:ind w:leftChars="0" w:left="0"/>
              <w:rPr>
                <w:rFonts w:ascii="Arial" w:hAnsi="Arial" w:cs="Arial"/>
                <w:color w:val="333333"/>
                <w:sz w:val="22"/>
              </w:rPr>
            </w:pPr>
          </w:p>
        </w:tc>
      </w:tr>
      <w:tr w:rsidR="0040588E" w:rsidRPr="00AF3EB7" w:rsidTr="0040588E">
        <w:tc>
          <w:tcPr>
            <w:tcW w:w="2188" w:type="dxa"/>
          </w:tcPr>
          <w:p w:rsidR="0040588E" w:rsidRPr="001009CF" w:rsidRDefault="0040588E" w:rsidP="0040588E">
            <w:r w:rsidRPr="001009CF">
              <w:t>IGDD2D006A</w:t>
            </w:r>
          </w:p>
        </w:tc>
        <w:tc>
          <w:tcPr>
            <w:tcW w:w="1940" w:type="dxa"/>
          </w:tcPr>
          <w:p w:rsidR="0040588E" w:rsidRPr="001009CF" w:rsidRDefault="0040588E" w:rsidP="0040588E">
            <w:r w:rsidRPr="001009CF">
              <w:t>All</w:t>
            </w:r>
          </w:p>
        </w:tc>
        <w:tc>
          <w:tcPr>
            <w:tcW w:w="2103" w:type="dxa"/>
          </w:tcPr>
          <w:p w:rsidR="0040588E" w:rsidRDefault="0040588E" w:rsidP="0040588E">
            <w:r w:rsidRPr="001009CF">
              <w:t>GLink (GLink 2.x + PCS-replay) CXS-</w:t>
            </w:r>
            <w:r w:rsidRPr="001009CF">
              <w:lastRenderedPageBreak/>
              <w:t>Bridge</w:t>
            </w:r>
          </w:p>
        </w:tc>
        <w:tc>
          <w:tcPr>
            <w:tcW w:w="1585" w:type="dxa"/>
          </w:tcPr>
          <w:p w:rsidR="0040588E" w:rsidRPr="00AF3EB7" w:rsidRDefault="0040588E" w:rsidP="0040588E">
            <w:pPr>
              <w:pStyle w:val="a3"/>
              <w:ind w:leftChars="0" w:left="0"/>
              <w:rPr>
                <w:rFonts w:ascii="Arial" w:hAnsi="Arial" w:cs="Arial"/>
                <w:color w:val="333333"/>
                <w:sz w:val="22"/>
              </w:rPr>
            </w:pPr>
          </w:p>
        </w:tc>
      </w:tr>
      <w:tr w:rsidR="0040588E" w:rsidRPr="00AF3EB7" w:rsidTr="0040588E">
        <w:tc>
          <w:tcPr>
            <w:tcW w:w="2188" w:type="dxa"/>
          </w:tcPr>
          <w:p w:rsidR="0040588E" w:rsidRPr="007F70CF" w:rsidRDefault="0040588E" w:rsidP="0040588E">
            <w:r w:rsidRPr="007F70CF">
              <w:lastRenderedPageBreak/>
              <w:t>IGID2DY01A</w:t>
            </w:r>
          </w:p>
        </w:tc>
        <w:tc>
          <w:tcPr>
            <w:tcW w:w="1940" w:type="dxa"/>
          </w:tcPr>
          <w:p w:rsidR="0040588E" w:rsidRPr="007F70CF" w:rsidRDefault="0040588E" w:rsidP="0040588E">
            <w:r w:rsidRPr="007F70CF">
              <w:t>5nm</w:t>
            </w:r>
          </w:p>
        </w:tc>
        <w:tc>
          <w:tcPr>
            <w:tcW w:w="2103" w:type="dxa"/>
          </w:tcPr>
          <w:p w:rsidR="0040588E" w:rsidRPr="007F70CF" w:rsidRDefault="0040588E" w:rsidP="0040588E">
            <w:r w:rsidRPr="007F70CF">
              <w:t>GLink GPIO for low speed connection between two dies</w:t>
            </w:r>
          </w:p>
        </w:tc>
        <w:tc>
          <w:tcPr>
            <w:tcW w:w="1585" w:type="dxa"/>
          </w:tcPr>
          <w:p w:rsidR="0040588E" w:rsidRPr="00AF3EB7" w:rsidRDefault="0040588E" w:rsidP="0040588E">
            <w:pPr>
              <w:pStyle w:val="a3"/>
              <w:ind w:leftChars="0" w:left="0"/>
              <w:rPr>
                <w:rFonts w:ascii="Arial" w:hAnsi="Arial" w:cs="Arial"/>
                <w:color w:val="333333"/>
                <w:sz w:val="22"/>
              </w:rPr>
            </w:pPr>
          </w:p>
        </w:tc>
      </w:tr>
      <w:tr w:rsidR="0040588E" w:rsidRPr="00AF3EB7" w:rsidTr="0040588E">
        <w:tc>
          <w:tcPr>
            <w:tcW w:w="2188" w:type="dxa"/>
          </w:tcPr>
          <w:p w:rsidR="0040588E" w:rsidRPr="007F70CF" w:rsidRDefault="0040588E" w:rsidP="0040588E">
            <w:r w:rsidRPr="007F70CF">
              <w:t>IGPD2D001A</w:t>
            </w:r>
          </w:p>
        </w:tc>
        <w:tc>
          <w:tcPr>
            <w:tcW w:w="1940" w:type="dxa"/>
          </w:tcPr>
          <w:p w:rsidR="0040588E" w:rsidRPr="007F70CF" w:rsidRDefault="0040588E" w:rsidP="0040588E">
            <w:r w:rsidRPr="007F70CF">
              <w:t>All</w:t>
            </w:r>
          </w:p>
        </w:tc>
        <w:tc>
          <w:tcPr>
            <w:tcW w:w="2103" w:type="dxa"/>
          </w:tcPr>
          <w:p w:rsidR="0040588E" w:rsidRDefault="0040588E" w:rsidP="0040588E">
            <w:r w:rsidRPr="007F70CF">
              <w:t>GLink Multi-Slice PCS</w:t>
            </w:r>
          </w:p>
        </w:tc>
        <w:tc>
          <w:tcPr>
            <w:tcW w:w="1585" w:type="dxa"/>
          </w:tcPr>
          <w:p w:rsidR="0040588E" w:rsidRPr="00AF3EB7" w:rsidRDefault="0040588E" w:rsidP="0040588E">
            <w:pPr>
              <w:pStyle w:val="a3"/>
              <w:ind w:leftChars="0" w:left="0"/>
              <w:rPr>
                <w:rFonts w:ascii="Arial" w:hAnsi="Arial" w:cs="Arial"/>
                <w:color w:val="333333"/>
                <w:sz w:val="22"/>
              </w:rPr>
            </w:pPr>
          </w:p>
        </w:tc>
      </w:tr>
    </w:tbl>
    <w:p w:rsidR="001A4006" w:rsidRDefault="001A4006" w:rsidP="00836577">
      <w:pPr>
        <w:pStyle w:val="a3"/>
        <w:ind w:leftChars="0"/>
        <w:rPr>
          <w:sz w:val="22"/>
        </w:rPr>
      </w:pPr>
    </w:p>
    <w:p w:rsidR="008B4B90" w:rsidRDefault="008B4B90" w:rsidP="008B4B90">
      <w:pPr>
        <w:pStyle w:val="a3"/>
        <w:ind w:leftChars="0"/>
        <w:rPr>
          <w:sz w:val="22"/>
        </w:rPr>
      </w:pPr>
      <w:r>
        <w:rPr>
          <w:sz w:val="22"/>
        </w:rPr>
        <w:t>Die-to-Die (UCIe-A) IP</w:t>
      </w:r>
    </w:p>
    <w:tbl>
      <w:tblPr>
        <w:tblStyle w:val="a4"/>
        <w:tblW w:w="0" w:type="auto"/>
        <w:tblInd w:w="480" w:type="dxa"/>
        <w:tblLook w:val="04A0" w:firstRow="1" w:lastRow="0" w:firstColumn="1" w:lastColumn="0" w:noHBand="0" w:noVBand="1"/>
      </w:tblPr>
      <w:tblGrid>
        <w:gridCol w:w="2188"/>
        <w:gridCol w:w="1940"/>
        <w:gridCol w:w="2103"/>
        <w:gridCol w:w="1585"/>
      </w:tblGrid>
      <w:tr w:rsidR="008B4B90" w:rsidTr="008B4B90">
        <w:tc>
          <w:tcPr>
            <w:tcW w:w="2188" w:type="dxa"/>
            <w:tcBorders>
              <w:top w:val="single" w:sz="4" w:space="0" w:color="auto"/>
              <w:left w:val="single" w:sz="4" w:space="0" w:color="auto"/>
              <w:bottom w:val="single" w:sz="4" w:space="0" w:color="auto"/>
              <w:right w:val="single" w:sz="4" w:space="0" w:color="auto"/>
            </w:tcBorders>
            <w:hideMark/>
          </w:tcPr>
          <w:p w:rsidR="008B4B90" w:rsidRDefault="008B4B90">
            <w:pPr>
              <w:pStyle w:val="a3"/>
              <w:ind w:leftChars="0" w:left="0"/>
              <w:rPr>
                <w:sz w:val="22"/>
              </w:rPr>
            </w:pPr>
            <w:r>
              <w:rPr>
                <w:rFonts w:ascii="Arial" w:hAnsi="Arial" w:cs="Arial"/>
                <w:b/>
                <w:bCs/>
                <w:color w:val="333333"/>
                <w:sz w:val="22"/>
              </w:rPr>
              <w:t>Part_Number</w:t>
            </w:r>
          </w:p>
        </w:tc>
        <w:tc>
          <w:tcPr>
            <w:tcW w:w="1940" w:type="dxa"/>
            <w:tcBorders>
              <w:top w:val="single" w:sz="4" w:space="0" w:color="auto"/>
              <w:left w:val="single" w:sz="4" w:space="0" w:color="auto"/>
              <w:bottom w:val="single" w:sz="4" w:space="0" w:color="auto"/>
              <w:right w:val="single" w:sz="4" w:space="0" w:color="auto"/>
            </w:tcBorders>
            <w:hideMark/>
          </w:tcPr>
          <w:p w:rsidR="008B4B90" w:rsidRDefault="008B4B90">
            <w:pPr>
              <w:pStyle w:val="a3"/>
              <w:ind w:leftChars="0" w:left="0"/>
              <w:rPr>
                <w:sz w:val="22"/>
              </w:rPr>
            </w:pPr>
            <w:r>
              <w:rPr>
                <w:rFonts w:ascii="Arial" w:hAnsi="Arial" w:cs="Arial"/>
                <w:b/>
                <w:bCs/>
                <w:color w:val="333333"/>
                <w:sz w:val="22"/>
              </w:rPr>
              <w:t>Process</w:t>
            </w:r>
          </w:p>
        </w:tc>
        <w:tc>
          <w:tcPr>
            <w:tcW w:w="2103" w:type="dxa"/>
            <w:tcBorders>
              <w:top w:val="single" w:sz="4" w:space="0" w:color="auto"/>
              <w:left w:val="single" w:sz="4" w:space="0" w:color="auto"/>
              <w:bottom w:val="single" w:sz="4" w:space="0" w:color="auto"/>
              <w:right w:val="single" w:sz="4" w:space="0" w:color="auto"/>
            </w:tcBorders>
            <w:hideMark/>
          </w:tcPr>
          <w:p w:rsidR="008B4B90" w:rsidRDefault="008B4B90">
            <w:pPr>
              <w:pStyle w:val="a3"/>
              <w:ind w:leftChars="0" w:left="0"/>
              <w:rPr>
                <w:sz w:val="22"/>
              </w:rPr>
            </w:pPr>
            <w:r>
              <w:rPr>
                <w:rFonts w:ascii="Arial" w:hAnsi="Arial" w:cs="Arial"/>
                <w:b/>
                <w:bCs/>
                <w:color w:val="333333"/>
                <w:sz w:val="22"/>
              </w:rPr>
              <w:t>Description</w:t>
            </w:r>
          </w:p>
        </w:tc>
        <w:tc>
          <w:tcPr>
            <w:tcW w:w="1585" w:type="dxa"/>
            <w:tcBorders>
              <w:top w:val="single" w:sz="4" w:space="0" w:color="auto"/>
              <w:left w:val="single" w:sz="4" w:space="0" w:color="auto"/>
              <w:bottom w:val="single" w:sz="4" w:space="0" w:color="auto"/>
              <w:right w:val="single" w:sz="4" w:space="0" w:color="auto"/>
            </w:tcBorders>
            <w:hideMark/>
          </w:tcPr>
          <w:p w:rsidR="008B4B90" w:rsidRDefault="008B4B90">
            <w:pPr>
              <w:pStyle w:val="a3"/>
              <w:ind w:leftChars="0" w:left="0"/>
              <w:rPr>
                <w:rFonts w:ascii="Arial" w:hAnsi="Arial" w:cs="Arial"/>
                <w:b/>
                <w:bCs/>
                <w:color w:val="333333"/>
                <w:sz w:val="22"/>
              </w:rPr>
            </w:pPr>
            <w:r>
              <w:rPr>
                <w:rFonts w:ascii="Arial" w:hAnsi="Arial" w:cs="Arial"/>
                <w:b/>
                <w:bCs/>
                <w:color w:val="333333"/>
                <w:sz w:val="22"/>
              </w:rPr>
              <w:t>Download</w:t>
            </w:r>
          </w:p>
        </w:tc>
      </w:tr>
      <w:tr w:rsidR="008B4B90" w:rsidTr="008B4B90">
        <w:tc>
          <w:tcPr>
            <w:tcW w:w="2188" w:type="dxa"/>
            <w:tcBorders>
              <w:top w:val="single" w:sz="4" w:space="0" w:color="auto"/>
              <w:left w:val="single" w:sz="4" w:space="0" w:color="auto"/>
              <w:bottom w:val="single" w:sz="4" w:space="0" w:color="auto"/>
              <w:right w:val="single" w:sz="4" w:space="0" w:color="auto"/>
            </w:tcBorders>
            <w:hideMark/>
          </w:tcPr>
          <w:p w:rsidR="008B4B90" w:rsidRDefault="001E745E">
            <w:pPr>
              <w:pStyle w:val="a3"/>
              <w:ind w:leftChars="0" w:left="0"/>
              <w:rPr>
                <w:sz w:val="22"/>
              </w:rPr>
            </w:pPr>
            <w:r>
              <w:rPr>
                <w:rFonts w:ascii="Arial" w:hAnsi="Arial" w:cs="Arial"/>
                <w:color w:val="333333"/>
                <w:sz w:val="22"/>
              </w:rPr>
              <w:t>IGAD2DZ02</w:t>
            </w:r>
            <w:r w:rsidR="008B4B90">
              <w:rPr>
                <w:rFonts w:ascii="Arial" w:hAnsi="Arial" w:cs="Arial"/>
                <w:color w:val="333333"/>
                <w:sz w:val="22"/>
              </w:rPr>
              <w:t>A</w:t>
            </w:r>
          </w:p>
        </w:tc>
        <w:tc>
          <w:tcPr>
            <w:tcW w:w="1940" w:type="dxa"/>
            <w:tcBorders>
              <w:top w:val="single" w:sz="4" w:space="0" w:color="auto"/>
              <w:left w:val="single" w:sz="4" w:space="0" w:color="auto"/>
              <w:bottom w:val="single" w:sz="4" w:space="0" w:color="auto"/>
              <w:right w:val="single" w:sz="4" w:space="0" w:color="auto"/>
            </w:tcBorders>
            <w:hideMark/>
          </w:tcPr>
          <w:p w:rsidR="008B4B90" w:rsidRDefault="001E745E">
            <w:pPr>
              <w:pStyle w:val="a3"/>
              <w:ind w:leftChars="0" w:left="0"/>
              <w:rPr>
                <w:sz w:val="22"/>
              </w:rPr>
            </w:pPr>
            <w:r>
              <w:rPr>
                <w:sz w:val="22"/>
              </w:rPr>
              <w:t>3nm</w:t>
            </w:r>
          </w:p>
        </w:tc>
        <w:tc>
          <w:tcPr>
            <w:tcW w:w="2103" w:type="dxa"/>
            <w:tcBorders>
              <w:top w:val="single" w:sz="4" w:space="0" w:color="auto"/>
              <w:left w:val="single" w:sz="4" w:space="0" w:color="auto"/>
              <w:bottom w:val="single" w:sz="4" w:space="0" w:color="auto"/>
              <w:right w:val="single" w:sz="4" w:space="0" w:color="auto"/>
            </w:tcBorders>
            <w:hideMark/>
          </w:tcPr>
          <w:p w:rsidR="008B4B90" w:rsidRDefault="001E745E">
            <w:pPr>
              <w:pStyle w:val="a3"/>
              <w:ind w:leftChars="0" w:left="0"/>
              <w:rPr>
                <w:sz w:val="22"/>
              </w:rPr>
            </w:pPr>
            <w:r>
              <w:rPr>
                <w:rFonts w:ascii="Arial" w:hAnsi="Arial" w:cs="Arial"/>
                <w:color w:val="333333"/>
                <w:sz w:val="22"/>
              </w:rPr>
              <w:t>UCIe-A</w:t>
            </w:r>
            <w:r w:rsidR="008B4B90">
              <w:rPr>
                <w:rFonts w:ascii="Arial" w:hAnsi="Arial" w:cs="Arial"/>
                <w:color w:val="333333"/>
                <w:sz w:val="22"/>
              </w:rPr>
              <w:t xml:space="preserve"> Interfac</w:t>
            </w:r>
            <w:r>
              <w:rPr>
                <w:rFonts w:ascii="Arial" w:hAnsi="Arial" w:cs="Arial"/>
                <w:color w:val="333333"/>
                <w:sz w:val="22"/>
              </w:rPr>
              <w:t>e PHY with full-duplex 32Gbps/lane</w:t>
            </w:r>
          </w:p>
        </w:tc>
        <w:tc>
          <w:tcPr>
            <w:tcW w:w="1585" w:type="dxa"/>
            <w:tcBorders>
              <w:top w:val="single" w:sz="4" w:space="0" w:color="auto"/>
              <w:left w:val="single" w:sz="4" w:space="0" w:color="auto"/>
              <w:bottom w:val="single" w:sz="4" w:space="0" w:color="auto"/>
              <w:right w:val="single" w:sz="4" w:space="0" w:color="auto"/>
            </w:tcBorders>
          </w:tcPr>
          <w:p w:rsidR="008B4B90" w:rsidRDefault="008B4B90">
            <w:pPr>
              <w:pStyle w:val="a3"/>
              <w:ind w:leftChars="0" w:left="0"/>
              <w:rPr>
                <w:rFonts w:ascii="Arial" w:hAnsi="Arial" w:cs="Arial"/>
                <w:color w:val="333333"/>
                <w:sz w:val="22"/>
              </w:rPr>
            </w:pPr>
          </w:p>
        </w:tc>
      </w:tr>
      <w:tr w:rsidR="008B4B90" w:rsidTr="008B4B90">
        <w:tc>
          <w:tcPr>
            <w:tcW w:w="2188" w:type="dxa"/>
            <w:tcBorders>
              <w:top w:val="single" w:sz="4" w:space="0" w:color="auto"/>
              <w:left w:val="single" w:sz="4" w:space="0" w:color="auto"/>
              <w:bottom w:val="single" w:sz="4" w:space="0" w:color="auto"/>
              <w:right w:val="single" w:sz="4" w:space="0" w:color="auto"/>
            </w:tcBorders>
            <w:hideMark/>
          </w:tcPr>
          <w:p w:rsidR="008B4B90" w:rsidRDefault="001E745E">
            <w:pPr>
              <w:pStyle w:val="a3"/>
              <w:ind w:leftChars="0" w:left="0"/>
              <w:rPr>
                <w:sz w:val="22"/>
              </w:rPr>
            </w:pPr>
            <w:r>
              <w:rPr>
                <w:rFonts w:ascii="Arial" w:hAnsi="Arial" w:cs="Arial"/>
                <w:color w:val="333333"/>
                <w:sz w:val="22"/>
              </w:rPr>
              <w:t>IGAD2DY08</w:t>
            </w:r>
            <w:r w:rsidR="008B4B90">
              <w:rPr>
                <w:rFonts w:ascii="Arial" w:hAnsi="Arial" w:cs="Arial"/>
                <w:color w:val="333333"/>
                <w:sz w:val="22"/>
              </w:rPr>
              <w:t>A</w:t>
            </w:r>
          </w:p>
        </w:tc>
        <w:tc>
          <w:tcPr>
            <w:tcW w:w="1940" w:type="dxa"/>
            <w:tcBorders>
              <w:top w:val="single" w:sz="4" w:space="0" w:color="auto"/>
              <w:left w:val="single" w:sz="4" w:space="0" w:color="auto"/>
              <w:bottom w:val="single" w:sz="4" w:space="0" w:color="auto"/>
              <w:right w:val="single" w:sz="4" w:space="0" w:color="auto"/>
            </w:tcBorders>
            <w:hideMark/>
          </w:tcPr>
          <w:p w:rsidR="008B4B90" w:rsidRDefault="008B4B90">
            <w:pPr>
              <w:pStyle w:val="a3"/>
              <w:ind w:leftChars="0" w:left="0"/>
              <w:rPr>
                <w:sz w:val="22"/>
              </w:rPr>
            </w:pPr>
            <w:r>
              <w:rPr>
                <w:sz w:val="22"/>
              </w:rPr>
              <w:t>5nm</w:t>
            </w:r>
          </w:p>
        </w:tc>
        <w:tc>
          <w:tcPr>
            <w:tcW w:w="2103" w:type="dxa"/>
            <w:tcBorders>
              <w:top w:val="single" w:sz="4" w:space="0" w:color="auto"/>
              <w:left w:val="single" w:sz="4" w:space="0" w:color="auto"/>
              <w:bottom w:val="single" w:sz="4" w:space="0" w:color="auto"/>
              <w:right w:val="single" w:sz="4" w:space="0" w:color="auto"/>
            </w:tcBorders>
            <w:hideMark/>
          </w:tcPr>
          <w:p w:rsidR="008B4B90" w:rsidRDefault="001E745E">
            <w:pPr>
              <w:pStyle w:val="a3"/>
              <w:ind w:leftChars="0" w:left="0"/>
              <w:rPr>
                <w:sz w:val="22"/>
              </w:rPr>
            </w:pPr>
            <w:r>
              <w:rPr>
                <w:rFonts w:ascii="Arial" w:hAnsi="Arial" w:cs="Arial"/>
                <w:color w:val="333333"/>
                <w:kern w:val="0"/>
                <w:sz w:val="22"/>
              </w:rPr>
              <w:t>UCIe-A Interface PHY with full-duplex 40Gbps/lane</w:t>
            </w:r>
          </w:p>
        </w:tc>
        <w:tc>
          <w:tcPr>
            <w:tcW w:w="1585" w:type="dxa"/>
            <w:tcBorders>
              <w:top w:val="single" w:sz="4" w:space="0" w:color="auto"/>
              <w:left w:val="single" w:sz="4" w:space="0" w:color="auto"/>
              <w:bottom w:val="single" w:sz="4" w:space="0" w:color="auto"/>
              <w:right w:val="single" w:sz="4" w:space="0" w:color="auto"/>
            </w:tcBorders>
          </w:tcPr>
          <w:p w:rsidR="008B4B90" w:rsidRPr="001E745E" w:rsidRDefault="008B4B90">
            <w:pPr>
              <w:pStyle w:val="a3"/>
              <w:ind w:leftChars="0" w:left="0"/>
              <w:rPr>
                <w:rFonts w:ascii="Arial" w:hAnsi="Arial" w:cs="Arial"/>
                <w:color w:val="333333"/>
                <w:sz w:val="22"/>
              </w:rPr>
            </w:pPr>
          </w:p>
        </w:tc>
      </w:tr>
    </w:tbl>
    <w:p w:rsidR="008B4B90" w:rsidRPr="008B4B90" w:rsidRDefault="008B4B90" w:rsidP="00836577">
      <w:pPr>
        <w:pStyle w:val="a3"/>
        <w:ind w:leftChars="0"/>
        <w:rPr>
          <w:b/>
          <w:sz w:val="22"/>
        </w:rPr>
      </w:pPr>
    </w:p>
    <w:sectPr w:rsidR="008B4B90" w:rsidRPr="008B4B9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0E5" w:rsidRDefault="00CE20E5" w:rsidP="00012D79">
      <w:r>
        <w:separator/>
      </w:r>
    </w:p>
  </w:endnote>
  <w:endnote w:type="continuationSeparator" w:id="0">
    <w:p w:rsidR="00CE20E5" w:rsidRDefault="00CE20E5" w:rsidP="00012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0E5" w:rsidRDefault="00CE20E5" w:rsidP="00012D79">
      <w:r>
        <w:separator/>
      </w:r>
    </w:p>
  </w:footnote>
  <w:footnote w:type="continuationSeparator" w:id="0">
    <w:p w:rsidR="00CE20E5" w:rsidRDefault="00CE20E5" w:rsidP="00012D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E459A7"/>
    <w:multiLevelType w:val="hybridMultilevel"/>
    <w:tmpl w:val="392CADA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4A0"/>
    <w:rsid w:val="00012D79"/>
    <w:rsid w:val="00016316"/>
    <w:rsid w:val="00034944"/>
    <w:rsid w:val="00037068"/>
    <w:rsid w:val="00053A44"/>
    <w:rsid w:val="00057B1F"/>
    <w:rsid w:val="000713F5"/>
    <w:rsid w:val="00082987"/>
    <w:rsid w:val="000A72B7"/>
    <w:rsid w:val="000D7659"/>
    <w:rsid w:val="001715E2"/>
    <w:rsid w:val="001770D5"/>
    <w:rsid w:val="00184F94"/>
    <w:rsid w:val="001A4006"/>
    <w:rsid w:val="001B630C"/>
    <w:rsid w:val="001C16B2"/>
    <w:rsid w:val="001E745E"/>
    <w:rsid w:val="001F3ED4"/>
    <w:rsid w:val="002034FF"/>
    <w:rsid w:val="00214725"/>
    <w:rsid w:val="002621F8"/>
    <w:rsid w:val="0029033E"/>
    <w:rsid w:val="002D38B3"/>
    <w:rsid w:val="002E1B98"/>
    <w:rsid w:val="002E50A9"/>
    <w:rsid w:val="00310599"/>
    <w:rsid w:val="00315EB1"/>
    <w:rsid w:val="00330E7F"/>
    <w:rsid w:val="00340CA7"/>
    <w:rsid w:val="0035601E"/>
    <w:rsid w:val="00381D7A"/>
    <w:rsid w:val="003962C6"/>
    <w:rsid w:val="003C1C22"/>
    <w:rsid w:val="003D08CA"/>
    <w:rsid w:val="003D4C7A"/>
    <w:rsid w:val="0040588E"/>
    <w:rsid w:val="004147AD"/>
    <w:rsid w:val="00423919"/>
    <w:rsid w:val="004477AB"/>
    <w:rsid w:val="00484BF2"/>
    <w:rsid w:val="004B26E8"/>
    <w:rsid w:val="004B5C84"/>
    <w:rsid w:val="004C6A0F"/>
    <w:rsid w:val="004F5AED"/>
    <w:rsid w:val="00502012"/>
    <w:rsid w:val="00593944"/>
    <w:rsid w:val="005A3228"/>
    <w:rsid w:val="005F5D4B"/>
    <w:rsid w:val="0060736F"/>
    <w:rsid w:val="00633BAE"/>
    <w:rsid w:val="00685F3A"/>
    <w:rsid w:val="0069001A"/>
    <w:rsid w:val="006900AB"/>
    <w:rsid w:val="00691146"/>
    <w:rsid w:val="006943E4"/>
    <w:rsid w:val="006B0246"/>
    <w:rsid w:val="006C6820"/>
    <w:rsid w:val="006D78CE"/>
    <w:rsid w:val="006F0F5B"/>
    <w:rsid w:val="006F73EE"/>
    <w:rsid w:val="00751E0C"/>
    <w:rsid w:val="007908CC"/>
    <w:rsid w:val="007A118C"/>
    <w:rsid w:val="007D1863"/>
    <w:rsid w:val="007F7A8D"/>
    <w:rsid w:val="00836577"/>
    <w:rsid w:val="0086011C"/>
    <w:rsid w:val="0087002B"/>
    <w:rsid w:val="00880F91"/>
    <w:rsid w:val="008B1396"/>
    <w:rsid w:val="008B4B90"/>
    <w:rsid w:val="008D4D9B"/>
    <w:rsid w:val="00911153"/>
    <w:rsid w:val="009250F1"/>
    <w:rsid w:val="0092739D"/>
    <w:rsid w:val="00986446"/>
    <w:rsid w:val="00990862"/>
    <w:rsid w:val="009C4B1E"/>
    <w:rsid w:val="009D3A48"/>
    <w:rsid w:val="009F1C49"/>
    <w:rsid w:val="00A41475"/>
    <w:rsid w:val="00A44EC5"/>
    <w:rsid w:val="00A71ADE"/>
    <w:rsid w:val="00A75C9E"/>
    <w:rsid w:val="00A87938"/>
    <w:rsid w:val="00A93CE0"/>
    <w:rsid w:val="00AF3EB7"/>
    <w:rsid w:val="00B13A96"/>
    <w:rsid w:val="00B1650A"/>
    <w:rsid w:val="00B200F2"/>
    <w:rsid w:val="00B4495E"/>
    <w:rsid w:val="00B44F05"/>
    <w:rsid w:val="00B62B12"/>
    <w:rsid w:val="00B72948"/>
    <w:rsid w:val="00B94E9E"/>
    <w:rsid w:val="00C00333"/>
    <w:rsid w:val="00C34CD2"/>
    <w:rsid w:val="00C42A3E"/>
    <w:rsid w:val="00C46522"/>
    <w:rsid w:val="00C53D76"/>
    <w:rsid w:val="00C959A4"/>
    <w:rsid w:val="00C96521"/>
    <w:rsid w:val="00C965BB"/>
    <w:rsid w:val="00CB4F6A"/>
    <w:rsid w:val="00CD3202"/>
    <w:rsid w:val="00CE20E5"/>
    <w:rsid w:val="00CF2E17"/>
    <w:rsid w:val="00D23D33"/>
    <w:rsid w:val="00D64B9A"/>
    <w:rsid w:val="00D9053C"/>
    <w:rsid w:val="00DB79B8"/>
    <w:rsid w:val="00DC768C"/>
    <w:rsid w:val="00DD04BE"/>
    <w:rsid w:val="00DF04A0"/>
    <w:rsid w:val="00DF36FE"/>
    <w:rsid w:val="00E1009F"/>
    <w:rsid w:val="00E23EE8"/>
    <w:rsid w:val="00E323FA"/>
    <w:rsid w:val="00E732E6"/>
    <w:rsid w:val="00E73884"/>
    <w:rsid w:val="00E94336"/>
    <w:rsid w:val="00E94D9E"/>
    <w:rsid w:val="00E97B58"/>
    <w:rsid w:val="00EA057B"/>
    <w:rsid w:val="00EA2240"/>
    <w:rsid w:val="00ED2808"/>
    <w:rsid w:val="00F136BD"/>
    <w:rsid w:val="00F24CDB"/>
    <w:rsid w:val="00F64E53"/>
    <w:rsid w:val="00F751CA"/>
    <w:rsid w:val="00FA310E"/>
    <w:rsid w:val="00FA5D62"/>
    <w:rsid w:val="00FC039A"/>
    <w:rsid w:val="00FD72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22866"/>
  <w15:docId w15:val="{706F8308-68CF-4C90-80CE-0AEA0F87D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6577"/>
    <w:pPr>
      <w:ind w:leftChars="200" w:left="480"/>
    </w:pPr>
  </w:style>
  <w:style w:type="table" w:styleId="a4">
    <w:name w:val="Table Grid"/>
    <w:basedOn w:val="a1"/>
    <w:uiPriority w:val="59"/>
    <w:rsid w:val="00836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12D79"/>
    <w:pPr>
      <w:tabs>
        <w:tab w:val="center" w:pos="4153"/>
        <w:tab w:val="right" w:pos="8306"/>
      </w:tabs>
      <w:snapToGrid w:val="0"/>
    </w:pPr>
    <w:rPr>
      <w:sz w:val="20"/>
      <w:szCs w:val="20"/>
    </w:rPr>
  </w:style>
  <w:style w:type="character" w:customStyle="1" w:styleId="a6">
    <w:name w:val="頁首 字元"/>
    <w:basedOn w:val="a0"/>
    <w:link w:val="a5"/>
    <w:uiPriority w:val="99"/>
    <w:rsid w:val="00012D79"/>
    <w:rPr>
      <w:sz w:val="20"/>
      <w:szCs w:val="20"/>
    </w:rPr>
  </w:style>
  <w:style w:type="paragraph" w:styleId="a7">
    <w:name w:val="footer"/>
    <w:basedOn w:val="a"/>
    <w:link w:val="a8"/>
    <w:uiPriority w:val="99"/>
    <w:unhideWhenUsed/>
    <w:rsid w:val="00012D79"/>
    <w:pPr>
      <w:tabs>
        <w:tab w:val="center" w:pos="4153"/>
        <w:tab w:val="right" w:pos="8306"/>
      </w:tabs>
      <w:snapToGrid w:val="0"/>
    </w:pPr>
    <w:rPr>
      <w:sz w:val="20"/>
      <w:szCs w:val="20"/>
    </w:rPr>
  </w:style>
  <w:style w:type="character" w:customStyle="1" w:styleId="a8">
    <w:name w:val="頁尾 字元"/>
    <w:basedOn w:val="a0"/>
    <w:link w:val="a7"/>
    <w:uiPriority w:val="99"/>
    <w:rsid w:val="00012D79"/>
    <w:rPr>
      <w:sz w:val="20"/>
      <w:szCs w:val="20"/>
    </w:rPr>
  </w:style>
  <w:style w:type="paragraph" w:styleId="a9">
    <w:name w:val="Balloon Text"/>
    <w:basedOn w:val="a"/>
    <w:link w:val="aa"/>
    <w:uiPriority w:val="99"/>
    <w:semiHidden/>
    <w:unhideWhenUsed/>
    <w:rsid w:val="001A4006"/>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A40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117629">
      <w:bodyDiv w:val="1"/>
      <w:marLeft w:val="0"/>
      <w:marRight w:val="0"/>
      <w:marTop w:val="0"/>
      <w:marBottom w:val="0"/>
      <w:divBdr>
        <w:top w:val="none" w:sz="0" w:space="0" w:color="auto"/>
        <w:left w:val="none" w:sz="0" w:space="0" w:color="auto"/>
        <w:bottom w:val="none" w:sz="0" w:space="0" w:color="auto"/>
        <w:right w:val="none" w:sz="0" w:space="0" w:color="auto"/>
      </w:divBdr>
    </w:div>
    <w:div w:id="480078434">
      <w:bodyDiv w:val="1"/>
      <w:marLeft w:val="0"/>
      <w:marRight w:val="0"/>
      <w:marTop w:val="0"/>
      <w:marBottom w:val="0"/>
      <w:divBdr>
        <w:top w:val="none" w:sz="0" w:space="0" w:color="auto"/>
        <w:left w:val="none" w:sz="0" w:space="0" w:color="auto"/>
        <w:bottom w:val="none" w:sz="0" w:space="0" w:color="auto"/>
        <w:right w:val="none" w:sz="0" w:space="0" w:color="auto"/>
      </w:divBdr>
      <w:divsChild>
        <w:div w:id="1491873116">
          <w:marLeft w:val="0"/>
          <w:marRight w:val="0"/>
          <w:marTop w:val="0"/>
          <w:marBottom w:val="0"/>
          <w:divBdr>
            <w:top w:val="none" w:sz="0" w:space="0" w:color="auto"/>
            <w:left w:val="none" w:sz="0" w:space="0" w:color="auto"/>
            <w:bottom w:val="none" w:sz="0" w:space="0" w:color="auto"/>
            <w:right w:val="none" w:sz="0" w:space="0" w:color="auto"/>
          </w:divBdr>
        </w:div>
        <w:div w:id="930351961">
          <w:marLeft w:val="0"/>
          <w:marRight w:val="0"/>
          <w:marTop w:val="0"/>
          <w:marBottom w:val="0"/>
          <w:divBdr>
            <w:top w:val="none" w:sz="0" w:space="0" w:color="auto"/>
            <w:left w:val="none" w:sz="0" w:space="0" w:color="auto"/>
            <w:bottom w:val="none" w:sz="0" w:space="0" w:color="auto"/>
            <w:right w:val="none" w:sz="0" w:space="0" w:color="auto"/>
          </w:divBdr>
        </w:div>
        <w:div w:id="1409110456">
          <w:marLeft w:val="0"/>
          <w:marRight w:val="0"/>
          <w:marTop w:val="0"/>
          <w:marBottom w:val="0"/>
          <w:divBdr>
            <w:top w:val="none" w:sz="0" w:space="0" w:color="auto"/>
            <w:left w:val="none" w:sz="0" w:space="0" w:color="auto"/>
            <w:bottom w:val="none" w:sz="0" w:space="0" w:color="auto"/>
            <w:right w:val="none" w:sz="0" w:space="0" w:color="auto"/>
          </w:divBdr>
        </w:div>
        <w:div w:id="241454388">
          <w:marLeft w:val="0"/>
          <w:marRight w:val="0"/>
          <w:marTop w:val="0"/>
          <w:marBottom w:val="0"/>
          <w:divBdr>
            <w:top w:val="none" w:sz="0" w:space="0" w:color="auto"/>
            <w:left w:val="none" w:sz="0" w:space="0" w:color="auto"/>
            <w:bottom w:val="none" w:sz="0" w:space="0" w:color="auto"/>
            <w:right w:val="none" w:sz="0" w:space="0" w:color="auto"/>
          </w:divBdr>
        </w:div>
        <w:div w:id="1812940048">
          <w:marLeft w:val="0"/>
          <w:marRight w:val="0"/>
          <w:marTop w:val="0"/>
          <w:marBottom w:val="0"/>
          <w:divBdr>
            <w:top w:val="none" w:sz="0" w:space="0" w:color="auto"/>
            <w:left w:val="none" w:sz="0" w:space="0" w:color="auto"/>
            <w:bottom w:val="none" w:sz="0" w:space="0" w:color="auto"/>
            <w:right w:val="none" w:sz="0" w:space="0" w:color="auto"/>
          </w:divBdr>
        </w:div>
        <w:div w:id="58797576">
          <w:marLeft w:val="0"/>
          <w:marRight w:val="0"/>
          <w:marTop w:val="0"/>
          <w:marBottom w:val="0"/>
          <w:divBdr>
            <w:top w:val="none" w:sz="0" w:space="0" w:color="auto"/>
            <w:left w:val="none" w:sz="0" w:space="0" w:color="auto"/>
            <w:bottom w:val="none" w:sz="0" w:space="0" w:color="auto"/>
            <w:right w:val="none" w:sz="0" w:space="0" w:color="auto"/>
          </w:divBdr>
        </w:div>
        <w:div w:id="1803108686">
          <w:marLeft w:val="0"/>
          <w:marRight w:val="0"/>
          <w:marTop w:val="0"/>
          <w:marBottom w:val="0"/>
          <w:divBdr>
            <w:top w:val="none" w:sz="0" w:space="0" w:color="auto"/>
            <w:left w:val="none" w:sz="0" w:space="0" w:color="auto"/>
            <w:bottom w:val="none" w:sz="0" w:space="0" w:color="auto"/>
            <w:right w:val="none" w:sz="0" w:space="0" w:color="auto"/>
          </w:divBdr>
        </w:div>
        <w:div w:id="1734230479">
          <w:marLeft w:val="0"/>
          <w:marRight w:val="0"/>
          <w:marTop w:val="0"/>
          <w:marBottom w:val="0"/>
          <w:divBdr>
            <w:top w:val="none" w:sz="0" w:space="0" w:color="auto"/>
            <w:left w:val="none" w:sz="0" w:space="0" w:color="auto"/>
            <w:bottom w:val="none" w:sz="0" w:space="0" w:color="auto"/>
            <w:right w:val="none" w:sz="0" w:space="0" w:color="auto"/>
          </w:divBdr>
        </w:div>
        <w:div w:id="805900885">
          <w:marLeft w:val="0"/>
          <w:marRight w:val="0"/>
          <w:marTop w:val="0"/>
          <w:marBottom w:val="0"/>
          <w:divBdr>
            <w:top w:val="none" w:sz="0" w:space="0" w:color="auto"/>
            <w:left w:val="none" w:sz="0" w:space="0" w:color="auto"/>
            <w:bottom w:val="none" w:sz="0" w:space="0" w:color="auto"/>
            <w:right w:val="none" w:sz="0" w:space="0" w:color="auto"/>
          </w:divBdr>
        </w:div>
        <w:div w:id="1375814463">
          <w:marLeft w:val="0"/>
          <w:marRight w:val="0"/>
          <w:marTop w:val="0"/>
          <w:marBottom w:val="0"/>
          <w:divBdr>
            <w:top w:val="none" w:sz="0" w:space="0" w:color="auto"/>
            <w:left w:val="none" w:sz="0" w:space="0" w:color="auto"/>
            <w:bottom w:val="none" w:sz="0" w:space="0" w:color="auto"/>
            <w:right w:val="none" w:sz="0" w:space="0" w:color="auto"/>
          </w:divBdr>
        </w:div>
        <w:div w:id="1488589098">
          <w:marLeft w:val="0"/>
          <w:marRight w:val="0"/>
          <w:marTop w:val="0"/>
          <w:marBottom w:val="0"/>
          <w:divBdr>
            <w:top w:val="none" w:sz="0" w:space="0" w:color="auto"/>
            <w:left w:val="none" w:sz="0" w:space="0" w:color="auto"/>
            <w:bottom w:val="none" w:sz="0" w:space="0" w:color="auto"/>
            <w:right w:val="none" w:sz="0" w:space="0" w:color="auto"/>
          </w:divBdr>
        </w:div>
        <w:div w:id="2143494028">
          <w:marLeft w:val="0"/>
          <w:marRight w:val="0"/>
          <w:marTop w:val="0"/>
          <w:marBottom w:val="0"/>
          <w:divBdr>
            <w:top w:val="none" w:sz="0" w:space="0" w:color="auto"/>
            <w:left w:val="none" w:sz="0" w:space="0" w:color="auto"/>
            <w:bottom w:val="none" w:sz="0" w:space="0" w:color="auto"/>
            <w:right w:val="none" w:sz="0" w:space="0" w:color="auto"/>
          </w:divBdr>
        </w:div>
        <w:div w:id="1436443160">
          <w:marLeft w:val="0"/>
          <w:marRight w:val="0"/>
          <w:marTop w:val="0"/>
          <w:marBottom w:val="0"/>
          <w:divBdr>
            <w:top w:val="none" w:sz="0" w:space="0" w:color="auto"/>
            <w:left w:val="none" w:sz="0" w:space="0" w:color="auto"/>
            <w:bottom w:val="none" w:sz="0" w:space="0" w:color="auto"/>
            <w:right w:val="none" w:sz="0" w:space="0" w:color="auto"/>
          </w:divBdr>
        </w:div>
        <w:div w:id="1355157093">
          <w:marLeft w:val="0"/>
          <w:marRight w:val="0"/>
          <w:marTop w:val="0"/>
          <w:marBottom w:val="0"/>
          <w:divBdr>
            <w:top w:val="none" w:sz="0" w:space="0" w:color="auto"/>
            <w:left w:val="none" w:sz="0" w:space="0" w:color="auto"/>
            <w:bottom w:val="none" w:sz="0" w:space="0" w:color="auto"/>
            <w:right w:val="none" w:sz="0" w:space="0" w:color="auto"/>
          </w:divBdr>
        </w:div>
        <w:div w:id="1134250217">
          <w:marLeft w:val="0"/>
          <w:marRight w:val="0"/>
          <w:marTop w:val="0"/>
          <w:marBottom w:val="0"/>
          <w:divBdr>
            <w:top w:val="none" w:sz="0" w:space="0" w:color="auto"/>
            <w:left w:val="none" w:sz="0" w:space="0" w:color="auto"/>
            <w:bottom w:val="none" w:sz="0" w:space="0" w:color="auto"/>
            <w:right w:val="none" w:sz="0" w:space="0" w:color="auto"/>
          </w:divBdr>
        </w:div>
        <w:div w:id="711923151">
          <w:marLeft w:val="0"/>
          <w:marRight w:val="0"/>
          <w:marTop w:val="0"/>
          <w:marBottom w:val="0"/>
          <w:divBdr>
            <w:top w:val="none" w:sz="0" w:space="0" w:color="auto"/>
            <w:left w:val="none" w:sz="0" w:space="0" w:color="auto"/>
            <w:bottom w:val="none" w:sz="0" w:space="0" w:color="auto"/>
            <w:right w:val="none" w:sz="0" w:space="0" w:color="auto"/>
          </w:divBdr>
        </w:div>
        <w:div w:id="1133060082">
          <w:marLeft w:val="0"/>
          <w:marRight w:val="0"/>
          <w:marTop w:val="0"/>
          <w:marBottom w:val="0"/>
          <w:divBdr>
            <w:top w:val="none" w:sz="0" w:space="0" w:color="auto"/>
            <w:left w:val="none" w:sz="0" w:space="0" w:color="auto"/>
            <w:bottom w:val="none" w:sz="0" w:space="0" w:color="auto"/>
            <w:right w:val="none" w:sz="0" w:space="0" w:color="auto"/>
          </w:divBdr>
        </w:div>
        <w:div w:id="692271165">
          <w:marLeft w:val="0"/>
          <w:marRight w:val="0"/>
          <w:marTop w:val="0"/>
          <w:marBottom w:val="0"/>
          <w:divBdr>
            <w:top w:val="none" w:sz="0" w:space="0" w:color="auto"/>
            <w:left w:val="none" w:sz="0" w:space="0" w:color="auto"/>
            <w:bottom w:val="none" w:sz="0" w:space="0" w:color="auto"/>
            <w:right w:val="none" w:sz="0" w:space="0" w:color="auto"/>
          </w:divBdr>
        </w:div>
      </w:divsChild>
    </w:div>
    <w:div w:id="756054665">
      <w:bodyDiv w:val="1"/>
      <w:marLeft w:val="0"/>
      <w:marRight w:val="0"/>
      <w:marTop w:val="0"/>
      <w:marBottom w:val="0"/>
      <w:divBdr>
        <w:top w:val="none" w:sz="0" w:space="0" w:color="auto"/>
        <w:left w:val="none" w:sz="0" w:space="0" w:color="auto"/>
        <w:bottom w:val="none" w:sz="0" w:space="0" w:color="auto"/>
        <w:right w:val="none" w:sz="0" w:space="0" w:color="auto"/>
      </w:divBdr>
    </w:div>
    <w:div w:id="1161432174">
      <w:bodyDiv w:val="1"/>
      <w:marLeft w:val="0"/>
      <w:marRight w:val="0"/>
      <w:marTop w:val="0"/>
      <w:marBottom w:val="0"/>
      <w:divBdr>
        <w:top w:val="none" w:sz="0" w:space="0" w:color="auto"/>
        <w:left w:val="none" w:sz="0" w:space="0" w:color="auto"/>
        <w:bottom w:val="none" w:sz="0" w:space="0" w:color="auto"/>
        <w:right w:val="none" w:sz="0" w:space="0" w:color="auto"/>
      </w:divBdr>
    </w:div>
    <w:div w:id="1735202046">
      <w:bodyDiv w:val="1"/>
      <w:marLeft w:val="0"/>
      <w:marRight w:val="0"/>
      <w:marTop w:val="0"/>
      <w:marBottom w:val="0"/>
      <w:divBdr>
        <w:top w:val="none" w:sz="0" w:space="0" w:color="auto"/>
        <w:left w:val="none" w:sz="0" w:space="0" w:color="auto"/>
        <w:bottom w:val="none" w:sz="0" w:space="0" w:color="auto"/>
        <w:right w:val="none" w:sz="0" w:space="0" w:color="auto"/>
      </w:divBdr>
      <w:divsChild>
        <w:div w:id="1132089632">
          <w:marLeft w:val="0"/>
          <w:marRight w:val="0"/>
          <w:marTop w:val="0"/>
          <w:marBottom w:val="0"/>
          <w:divBdr>
            <w:top w:val="none" w:sz="0" w:space="0" w:color="auto"/>
            <w:left w:val="none" w:sz="0" w:space="0" w:color="auto"/>
            <w:bottom w:val="none" w:sz="0" w:space="0" w:color="auto"/>
            <w:right w:val="none" w:sz="0" w:space="0" w:color="auto"/>
          </w:divBdr>
        </w:div>
        <w:div w:id="1752198936">
          <w:marLeft w:val="0"/>
          <w:marRight w:val="0"/>
          <w:marTop w:val="0"/>
          <w:marBottom w:val="0"/>
          <w:divBdr>
            <w:top w:val="none" w:sz="0" w:space="0" w:color="auto"/>
            <w:left w:val="none" w:sz="0" w:space="0" w:color="auto"/>
            <w:bottom w:val="none" w:sz="0" w:space="0" w:color="auto"/>
            <w:right w:val="none" w:sz="0" w:space="0" w:color="auto"/>
          </w:divBdr>
        </w:div>
        <w:div w:id="462583012">
          <w:marLeft w:val="0"/>
          <w:marRight w:val="0"/>
          <w:marTop w:val="0"/>
          <w:marBottom w:val="0"/>
          <w:divBdr>
            <w:top w:val="none" w:sz="0" w:space="0" w:color="auto"/>
            <w:left w:val="none" w:sz="0" w:space="0" w:color="auto"/>
            <w:bottom w:val="none" w:sz="0" w:space="0" w:color="auto"/>
            <w:right w:val="none" w:sz="0" w:space="0" w:color="auto"/>
          </w:divBdr>
        </w:div>
        <w:div w:id="1893534907">
          <w:marLeft w:val="0"/>
          <w:marRight w:val="0"/>
          <w:marTop w:val="0"/>
          <w:marBottom w:val="0"/>
          <w:divBdr>
            <w:top w:val="none" w:sz="0" w:space="0" w:color="auto"/>
            <w:left w:val="none" w:sz="0" w:space="0" w:color="auto"/>
            <w:bottom w:val="none" w:sz="0" w:space="0" w:color="auto"/>
            <w:right w:val="none" w:sz="0" w:space="0" w:color="auto"/>
          </w:divBdr>
        </w:div>
        <w:div w:id="2139180208">
          <w:marLeft w:val="0"/>
          <w:marRight w:val="0"/>
          <w:marTop w:val="0"/>
          <w:marBottom w:val="0"/>
          <w:divBdr>
            <w:top w:val="none" w:sz="0" w:space="0" w:color="auto"/>
            <w:left w:val="none" w:sz="0" w:space="0" w:color="auto"/>
            <w:bottom w:val="none" w:sz="0" w:space="0" w:color="auto"/>
            <w:right w:val="none" w:sz="0" w:space="0" w:color="auto"/>
          </w:divBdr>
        </w:div>
        <w:div w:id="705253285">
          <w:marLeft w:val="0"/>
          <w:marRight w:val="0"/>
          <w:marTop w:val="0"/>
          <w:marBottom w:val="0"/>
          <w:divBdr>
            <w:top w:val="none" w:sz="0" w:space="0" w:color="auto"/>
            <w:left w:val="none" w:sz="0" w:space="0" w:color="auto"/>
            <w:bottom w:val="none" w:sz="0" w:space="0" w:color="auto"/>
            <w:right w:val="none" w:sz="0" w:space="0" w:color="auto"/>
          </w:divBdr>
        </w:div>
        <w:div w:id="147206621">
          <w:marLeft w:val="0"/>
          <w:marRight w:val="0"/>
          <w:marTop w:val="0"/>
          <w:marBottom w:val="0"/>
          <w:divBdr>
            <w:top w:val="none" w:sz="0" w:space="0" w:color="auto"/>
            <w:left w:val="none" w:sz="0" w:space="0" w:color="auto"/>
            <w:bottom w:val="none" w:sz="0" w:space="0" w:color="auto"/>
            <w:right w:val="none" w:sz="0" w:space="0" w:color="auto"/>
          </w:divBdr>
        </w:div>
        <w:div w:id="1953900478">
          <w:marLeft w:val="0"/>
          <w:marRight w:val="0"/>
          <w:marTop w:val="0"/>
          <w:marBottom w:val="0"/>
          <w:divBdr>
            <w:top w:val="none" w:sz="0" w:space="0" w:color="auto"/>
            <w:left w:val="none" w:sz="0" w:space="0" w:color="auto"/>
            <w:bottom w:val="none" w:sz="0" w:space="0" w:color="auto"/>
            <w:right w:val="none" w:sz="0" w:space="0" w:color="auto"/>
          </w:divBdr>
        </w:div>
        <w:div w:id="1164932706">
          <w:marLeft w:val="0"/>
          <w:marRight w:val="0"/>
          <w:marTop w:val="0"/>
          <w:marBottom w:val="0"/>
          <w:divBdr>
            <w:top w:val="none" w:sz="0" w:space="0" w:color="auto"/>
            <w:left w:val="none" w:sz="0" w:space="0" w:color="auto"/>
            <w:bottom w:val="none" w:sz="0" w:space="0" w:color="auto"/>
            <w:right w:val="none" w:sz="0" w:space="0" w:color="auto"/>
          </w:divBdr>
        </w:div>
        <w:div w:id="1095443630">
          <w:marLeft w:val="0"/>
          <w:marRight w:val="0"/>
          <w:marTop w:val="0"/>
          <w:marBottom w:val="0"/>
          <w:divBdr>
            <w:top w:val="none" w:sz="0" w:space="0" w:color="auto"/>
            <w:left w:val="none" w:sz="0" w:space="0" w:color="auto"/>
            <w:bottom w:val="none" w:sz="0" w:space="0" w:color="auto"/>
            <w:right w:val="none" w:sz="0" w:space="0" w:color="auto"/>
          </w:divBdr>
        </w:div>
        <w:div w:id="727388097">
          <w:marLeft w:val="0"/>
          <w:marRight w:val="0"/>
          <w:marTop w:val="0"/>
          <w:marBottom w:val="0"/>
          <w:divBdr>
            <w:top w:val="none" w:sz="0" w:space="0" w:color="auto"/>
            <w:left w:val="none" w:sz="0" w:space="0" w:color="auto"/>
            <w:bottom w:val="none" w:sz="0" w:space="0" w:color="auto"/>
            <w:right w:val="none" w:sz="0" w:space="0" w:color="auto"/>
          </w:divBdr>
        </w:div>
        <w:div w:id="1532066900">
          <w:marLeft w:val="0"/>
          <w:marRight w:val="0"/>
          <w:marTop w:val="0"/>
          <w:marBottom w:val="0"/>
          <w:divBdr>
            <w:top w:val="none" w:sz="0" w:space="0" w:color="auto"/>
            <w:left w:val="none" w:sz="0" w:space="0" w:color="auto"/>
            <w:bottom w:val="none" w:sz="0" w:space="0" w:color="auto"/>
            <w:right w:val="none" w:sz="0" w:space="0" w:color="auto"/>
          </w:divBdr>
        </w:div>
        <w:div w:id="1074670167">
          <w:marLeft w:val="0"/>
          <w:marRight w:val="0"/>
          <w:marTop w:val="0"/>
          <w:marBottom w:val="0"/>
          <w:divBdr>
            <w:top w:val="none" w:sz="0" w:space="0" w:color="auto"/>
            <w:left w:val="none" w:sz="0" w:space="0" w:color="auto"/>
            <w:bottom w:val="none" w:sz="0" w:space="0" w:color="auto"/>
            <w:right w:val="none" w:sz="0" w:space="0" w:color="auto"/>
          </w:divBdr>
        </w:div>
        <w:div w:id="1619410643">
          <w:marLeft w:val="0"/>
          <w:marRight w:val="0"/>
          <w:marTop w:val="0"/>
          <w:marBottom w:val="0"/>
          <w:divBdr>
            <w:top w:val="none" w:sz="0" w:space="0" w:color="auto"/>
            <w:left w:val="none" w:sz="0" w:space="0" w:color="auto"/>
            <w:bottom w:val="none" w:sz="0" w:space="0" w:color="auto"/>
            <w:right w:val="none" w:sz="0" w:space="0" w:color="auto"/>
          </w:divBdr>
        </w:div>
        <w:div w:id="1185704545">
          <w:marLeft w:val="0"/>
          <w:marRight w:val="0"/>
          <w:marTop w:val="0"/>
          <w:marBottom w:val="0"/>
          <w:divBdr>
            <w:top w:val="none" w:sz="0" w:space="0" w:color="auto"/>
            <w:left w:val="none" w:sz="0" w:space="0" w:color="auto"/>
            <w:bottom w:val="none" w:sz="0" w:space="0" w:color="auto"/>
            <w:right w:val="none" w:sz="0" w:space="0" w:color="auto"/>
          </w:divBdr>
        </w:div>
        <w:div w:id="548761812">
          <w:marLeft w:val="0"/>
          <w:marRight w:val="0"/>
          <w:marTop w:val="0"/>
          <w:marBottom w:val="0"/>
          <w:divBdr>
            <w:top w:val="none" w:sz="0" w:space="0" w:color="auto"/>
            <w:left w:val="none" w:sz="0" w:space="0" w:color="auto"/>
            <w:bottom w:val="none" w:sz="0" w:space="0" w:color="auto"/>
            <w:right w:val="none" w:sz="0" w:space="0" w:color="auto"/>
          </w:divBdr>
        </w:div>
        <w:div w:id="555438413">
          <w:marLeft w:val="0"/>
          <w:marRight w:val="0"/>
          <w:marTop w:val="0"/>
          <w:marBottom w:val="0"/>
          <w:divBdr>
            <w:top w:val="none" w:sz="0" w:space="0" w:color="auto"/>
            <w:left w:val="none" w:sz="0" w:space="0" w:color="auto"/>
            <w:bottom w:val="none" w:sz="0" w:space="0" w:color="auto"/>
            <w:right w:val="none" w:sz="0" w:space="0" w:color="auto"/>
          </w:divBdr>
        </w:div>
        <w:div w:id="239216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1410</TotalTime>
  <Pages>3</Pages>
  <Words>406</Words>
  <Characters>2319</Characters>
  <Application>Microsoft Office Word</Application>
  <DocSecurity>0</DocSecurity>
  <Lines>19</Lines>
  <Paragraphs>5</Paragraphs>
  <ScaleCrop>false</ScaleCrop>
  <Company>Toshiba</Company>
  <LinksUpToDate>false</LinksUpToDate>
  <CharactersWithSpaces>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joanna.chen@GUCNB712</dc:creator>
  <cp:lastModifiedBy>richard.cc.lee@GUCNB914</cp:lastModifiedBy>
  <cp:revision>18</cp:revision>
  <dcterms:created xsi:type="dcterms:W3CDTF">2024-12-26T01:37:00Z</dcterms:created>
  <dcterms:modified xsi:type="dcterms:W3CDTF">2025-01-16T01:40:00Z</dcterms:modified>
</cp:coreProperties>
</file>