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639F" w:rsidRDefault="0037639F" w:rsidP="008C2D74">
      <w:pPr>
        <w:widowControl/>
        <w:shd w:val="clear" w:color="auto" w:fill="FFFFFF"/>
        <w:spacing w:before="600" w:after="375" w:line="450" w:lineRule="atLeast"/>
        <w:outlineLvl w:val="2"/>
        <w:rPr>
          <w:rFonts w:ascii="Arial" w:eastAsia="微軟正黑體" w:hAnsi="Arial" w:cs="Arial"/>
          <w:b/>
          <w:bCs/>
          <w:color w:val="00897B"/>
          <w:kern w:val="0"/>
          <w:sz w:val="30"/>
          <w:szCs w:val="30"/>
        </w:rPr>
      </w:pPr>
      <w:r>
        <w:rPr>
          <w:rFonts w:ascii="Arial" w:eastAsia="微軟正黑體" w:hAnsi="Arial" w:cs="Arial" w:hint="eastAsia"/>
          <w:b/>
          <w:bCs/>
          <w:color w:val="00897B"/>
          <w:kern w:val="0"/>
          <w:sz w:val="30"/>
          <w:szCs w:val="30"/>
        </w:rPr>
        <w:t>Foundation IP</w:t>
      </w:r>
    </w:p>
    <w:p w:rsidR="0037639F" w:rsidRDefault="0037639F" w:rsidP="008C2D74">
      <w:pPr>
        <w:widowControl/>
        <w:shd w:val="clear" w:color="auto" w:fill="FFFFFF"/>
        <w:spacing w:before="600" w:after="375" w:line="450" w:lineRule="atLeast"/>
        <w:outlineLvl w:val="2"/>
        <w:rPr>
          <w:rFonts w:hint="eastAsia"/>
          <w:kern w:val="0"/>
          <w:sz w:val="22"/>
        </w:rPr>
      </w:pPr>
      <w:r>
        <w:rPr>
          <w:rFonts w:hint="eastAsia"/>
          <w:kern w:val="0"/>
          <w:sz w:val="22"/>
        </w:rPr>
        <w:t xml:space="preserve">To </w:t>
      </w:r>
      <w:r>
        <w:rPr>
          <w:kern w:val="0"/>
          <w:sz w:val="22"/>
        </w:rPr>
        <w:t>facilitate</w:t>
      </w:r>
      <w:r>
        <w:rPr>
          <w:rFonts w:hint="eastAsia"/>
          <w:kern w:val="0"/>
          <w:sz w:val="22"/>
        </w:rPr>
        <w:t xml:space="preserve"> </w:t>
      </w:r>
      <w:r>
        <w:rPr>
          <w:kern w:val="0"/>
          <w:sz w:val="22"/>
        </w:rPr>
        <w:t>ASIC</w:t>
      </w:r>
      <w:r>
        <w:rPr>
          <w:rFonts w:hint="eastAsia"/>
          <w:kern w:val="0"/>
          <w:sz w:val="22"/>
        </w:rPr>
        <w:t xml:space="preserve"> design, GUC provide various foundation IP, </w:t>
      </w:r>
      <w:r>
        <w:rPr>
          <w:kern w:val="0"/>
          <w:sz w:val="22"/>
        </w:rPr>
        <w:t>including embedded SRAM and SoC IP such as PLL, THM and CPM</w:t>
      </w:r>
      <w:bookmarkStart w:id="0" w:name="_GoBack"/>
      <w:bookmarkEnd w:id="0"/>
      <w:r>
        <w:rPr>
          <w:kern w:val="0"/>
          <w:sz w:val="22"/>
        </w:rPr>
        <w:t>.</w:t>
      </w:r>
    </w:p>
    <w:p w:rsidR="008C2D74" w:rsidRDefault="00142D9A" w:rsidP="008C2D74">
      <w:pPr>
        <w:widowControl/>
        <w:shd w:val="clear" w:color="auto" w:fill="FFFFFF"/>
        <w:spacing w:before="600" w:after="375" w:line="450" w:lineRule="atLeast"/>
        <w:outlineLvl w:val="2"/>
        <w:rPr>
          <w:rFonts w:ascii="Arial" w:eastAsia="微軟正黑體" w:hAnsi="Arial" w:cs="Arial"/>
          <w:b/>
          <w:bCs/>
          <w:color w:val="00897B"/>
          <w:kern w:val="0"/>
          <w:sz w:val="30"/>
          <w:szCs w:val="30"/>
        </w:rPr>
      </w:pPr>
      <w:r>
        <w:rPr>
          <w:rFonts w:ascii="Arial" w:eastAsia="微軟正黑體" w:hAnsi="Arial" w:cs="Arial"/>
          <w:b/>
          <w:bCs/>
          <w:color w:val="00897B"/>
          <w:kern w:val="0"/>
          <w:sz w:val="30"/>
          <w:szCs w:val="30"/>
        </w:rPr>
        <w:t>Embedded Memory IP</w:t>
      </w:r>
    </w:p>
    <w:p w:rsidR="0096231B" w:rsidRDefault="0096231B" w:rsidP="0096231B">
      <w:pPr>
        <w:pStyle w:val="aa"/>
        <w:ind w:leftChars="0"/>
        <w:rPr>
          <w:sz w:val="22"/>
        </w:rPr>
      </w:pPr>
      <w:r w:rsidRPr="0096231B">
        <w:rPr>
          <w:sz w:val="22"/>
        </w:rPr>
        <w:t>GUC owns the proprietary embedded memory design and verification know-how to offer exceptional SRAM customization service, to enable customer’s product success with great differentiation value.</w:t>
      </w:r>
    </w:p>
    <w:p w:rsidR="0096231B" w:rsidRDefault="0096231B" w:rsidP="0096231B">
      <w:pPr>
        <w:pStyle w:val="aa"/>
        <w:ind w:leftChars="0"/>
        <w:rPr>
          <w:sz w:val="22"/>
        </w:rPr>
      </w:pPr>
    </w:p>
    <w:p w:rsidR="0096231B" w:rsidRDefault="0096231B" w:rsidP="0096231B">
      <w:pPr>
        <w:pStyle w:val="aa"/>
        <w:ind w:leftChars="0"/>
        <w:rPr>
          <w:sz w:val="22"/>
        </w:rPr>
      </w:pPr>
      <w:r>
        <w:rPr>
          <w:sz w:val="22"/>
        </w:rPr>
        <w:t>SRAM compiler</w:t>
      </w:r>
    </w:p>
    <w:tbl>
      <w:tblPr>
        <w:tblStyle w:val="ab"/>
        <w:tblW w:w="0" w:type="auto"/>
        <w:tblInd w:w="480" w:type="dxa"/>
        <w:tblLook w:val="04A0" w:firstRow="1" w:lastRow="0" w:firstColumn="1" w:lastColumn="0" w:noHBand="0" w:noVBand="1"/>
      </w:tblPr>
      <w:tblGrid>
        <w:gridCol w:w="2188"/>
        <w:gridCol w:w="1940"/>
        <w:gridCol w:w="2103"/>
        <w:gridCol w:w="1585"/>
      </w:tblGrid>
      <w:tr w:rsidR="0096231B" w:rsidTr="0096231B">
        <w:tc>
          <w:tcPr>
            <w:tcW w:w="2188" w:type="dxa"/>
            <w:tcBorders>
              <w:top w:val="single" w:sz="4" w:space="0" w:color="auto"/>
              <w:left w:val="single" w:sz="4" w:space="0" w:color="auto"/>
              <w:bottom w:val="single" w:sz="4" w:space="0" w:color="auto"/>
              <w:right w:val="single" w:sz="4" w:space="0" w:color="auto"/>
            </w:tcBorders>
            <w:hideMark/>
          </w:tcPr>
          <w:p w:rsidR="0096231B" w:rsidRDefault="0096231B">
            <w:pPr>
              <w:pStyle w:val="aa"/>
              <w:ind w:leftChars="0" w:left="0"/>
              <w:rPr>
                <w:sz w:val="22"/>
              </w:rPr>
            </w:pPr>
            <w:r>
              <w:rPr>
                <w:rFonts w:ascii="Arial" w:hAnsi="Arial" w:cs="Arial"/>
                <w:b/>
                <w:bCs/>
                <w:color w:val="333333"/>
                <w:sz w:val="22"/>
              </w:rPr>
              <w:t>Part_Number</w:t>
            </w:r>
          </w:p>
        </w:tc>
        <w:tc>
          <w:tcPr>
            <w:tcW w:w="1940" w:type="dxa"/>
            <w:tcBorders>
              <w:top w:val="single" w:sz="4" w:space="0" w:color="auto"/>
              <w:left w:val="single" w:sz="4" w:space="0" w:color="auto"/>
              <w:bottom w:val="single" w:sz="4" w:space="0" w:color="auto"/>
              <w:right w:val="single" w:sz="4" w:space="0" w:color="auto"/>
            </w:tcBorders>
            <w:hideMark/>
          </w:tcPr>
          <w:p w:rsidR="0096231B" w:rsidRDefault="0096231B">
            <w:pPr>
              <w:pStyle w:val="aa"/>
              <w:ind w:leftChars="0" w:left="0"/>
              <w:rPr>
                <w:sz w:val="22"/>
              </w:rPr>
            </w:pPr>
            <w:r>
              <w:rPr>
                <w:rFonts w:ascii="Arial" w:hAnsi="Arial" w:cs="Arial"/>
                <w:b/>
                <w:bCs/>
                <w:color w:val="333333"/>
                <w:sz w:val="22"/>
              </w:rPr>
              <w:t>Process</w:t>
            </w:r>
          </w:p>
        </w:tc>
        <w:tc>
          <w:tcPr>
            <w:tcW w:w="2103" w:type="dxa"/>
            <w:tcBorders>
              <w:top w:val="single" w:sz="4" w:space="0" w:color="auto"/>
              <w:left w:val="single" w:sz="4" w:space="0" w:color="auto"/>
              <w:bottom w:val="single" w:sz="4" w:space="0" w:color="auto"/>
              <w:right w:val="single" w:sz="4" w:space="0" w:color="auto"/>
            </w:tcBorders>
            <w:hideMark/>
          </w:tcPr>
          <w:p w:rsidR="0096231B" w:rsidRDefault="0096231B">
            <w:pPr>
              <w:pStyle w:val="aa"/>
              <w:ind w:leftChars="0" w:left="0"/>
              <w:rPr>
                <w:sz w:val="22"/>
              </w:rPr>
            </w:pPr>
            <w:r>
              <w:rPr>
                <w:rFonts w:ascii="Arial" w:hAnsi="Arial" w:cs="Arial"/>
                <w:b/>
                <w:bCs/>
                <w:color w:val="333333"/>
                <w:sz w:val="22"/>
              </w:rPr>
              <w:t>Description</w:t>
            </w:r>
          </w:p>
        </w:tc>
        <w:tc>
          <w:tcPr>
            <w:tcW w:w="1585" w:type="dxa"/>
            <w:tcBorders>
              <w:top w:val="single" w:sz="4" w:space="0" w:color="auto"/>
              <w:left w:val="single" w:sz="4" w:space="0" w:color="auto"/>
              <w:bottom w:val="single" w:sz="4" w:space="0" w:color="auto"/>
              <w:right w:val="single" w:sz="4" w:space="0" w:color="auto"/>
            </w:tcBorders>
            <w:hideMark/>
          </w:tcPr>
          <w:p w:rsidR="0096231B" w:rsidRDefault="0096231B">
            <w:pPr>
              <w:pStyle w:val="aa"/>
              <w:ind w:leftChars="0" w:left="0"/>
              <w:rPr>
                <w:rFonts w:ascii="Arial" w:hAnsi="Arial" w:cs="Arial"/>
                <w:b/>
                <w:bCs/>
                <w:color w:val="333333"/>
                <w:sz w:val="22"/>
              </w:rPr>
            </w:pPr>
            <w:r>
              <w:rPr>
                <w:rFonts w:ascii="Arial" w:hAnsi="Arial" w:cs="Arial"/>
                <w:b/>
                <w:bCs/>
                <w:color w:val="333333"/>
                <w:sz w:val="22"/>
              </w:rPr>
              <w:t>Download</w:t>
            </w:r>
          </w:p>
        </w:tc>
      </w:tr>
      <w:tr w:rsidR="0096231B" w:rsidTr="0096231B">
        <w:tc>
          <w:tcPr>
            <w:tcW w:w="2188" w:type="dxa"/>
            <w:tcBorders>
              <w:top w:val="single" w:sz="4" w:space="0" w:color="auto"/>
              <w:left w:val="single" w:sz="4" w:space="0" w:color="auto"/>
              <w:bottom w:val="single" w:sz="4" w:space="0" w:color="auto"/>
              <w:right w:val="single" w:sz="4" w:space="0" w:color="auto"/>
            </w:tcBorders>
          </w:tcPr>
          <w:p w:rsidR="0096231B" w:rsidRPr="00CE20F8" w:rsidRDefault="0096231B" w:rsidP="0096231B">
            <w:r w:rsidRPr="00CE20F8">
              <w:t>IGMSLRV01A</w:t>
            </w:r>
          </w:p>
        </w:tc>
        <w:tc>
          <w:tcPr>
            <w:tcW w:w="1940" w:type="dxa"/>
            <w:tcBorders>
              <w:top w:val="single" w:sz="4" w:space="0" w:color="auto"/>
              <w:left w:val="single" w:sz="4" w:space="0" w:color="auto"/>
              <w:bottom w:val="single" w:sz="4" w:space="0" w:color="auto"/>
              <w:right w:val="single" w:sz="4" w:space="0" w:color="auto"/>
            </w:tcBorders>
          </w:tcPr>
          <w:p w:rsidR="0096231B" w:rsidRPr="00CE20F8" w:rsidRDefault="0096231B" w:rsidP="0096231B">
            <w:r w:rsidRPr="00CE20F8">
              <w:t>16nm</w:t>
            </w:r>
          </w:p>
        </w:tc>
        <w:tc>
          <w:tcPr>
            <w:tcW w:w="2103" w:type="dxa"/>
            <w:tcBorders>
              <w:top w:val="single" w:sz="4" w:space="0" w:color="auto"/>
              <w:left w:val="single" w:sz="4" w:space="0" w:color="auto"/>
              <w:bottom w:val="single" w:sz="4" w:space="0" w:color="auto"/>
              <w:right w:val="single" w:sz="4" w:space="0" w:color="auto"/>
            </w:tcBorders>
          </w:tcPr>
          <w:p w:rsidR="0096231B" w:rsidRPr="00CE20F8" w:rsidRDefault="0096231B" w:rsidP="0096231B">
            <w:r w:rsidRPr="00CE20F8">
              <w:t>Small area, Low Power, Single Port Register File</w:t>
            </w:r>
          </w:p>
        </w:tc>
        <w:tc>
          <w:tcPr>
            <w:tcW w:w="1585" w:type="dxa"/>
            <w:tcBorders>
              <w:top w:val="single" w:sz="4" w:space="0" w:color="auto"/>
              <w:left w:val="single" w:sz="4" w:space="0" w:color="auto"/>
              <w:bottom w:val="single" w:sz="4" w:space="0" w:color="auto"/>
              <w:right w:val="single" w:sz="4" w:space="0" w:color="auto"/>
            </w:tcBorders>
          </w:tcPr>
          <w:p w:rsidR="0096231B" w:rsidRPr="00CE20F8" w:rsidRDefault="0096231B" w:rsidP="0096231B"/>
        </w:tc>
      </w:tr>
      <w:tr w:rsidR="0096231B" w:rsidTr="0096231B">
        <w:tc>
          <w:tcPr>
            <w:tcW w:w="2188" w:type="dxa"/>
            <w:tcBorders>
              <w:top w:val="single" w:sz="4" w:space="0" w:color="auto"/>
              <w:left w:val="single" w:sz="4" w:space="0" w:color="auto"/>
              <w:bottom w:val="single" w:sz="4" w:space="0" w:color="auto"/>
              <w:right w:val="single" w:sz="4" w:space="0" w:color="auto"/>
            </w:tcBorders>
            <w:hideMark/>
          </w:tcPr>
          <w:p w:rsidR="0096231B" w:rsidRPr="00CE20F8" w:rsidRDefault="0096231B" w:rsidP="0096231B">
            <w:r w:rsidRPr="00CE20F8">
              <w:t>IGMSLRX01A</w:t>
            </w:r>
          </w:p>
        </w:tc>
        <w:tc>
          <w:tcPr>
            <w:tcW w:w="1940" w:type="dxa"/>
            <w:tcBorders>
              <w:top w:val="single" w:sz="4" w:space="0" w:color="auto"/>
              <w:left w:val="single" w:sz="4" w:space="0" w:color="auto"/>
              <w:bottom w:val="single" w:sz="4" w:space="0" w:color="auto"/>
              <w:right w:val="single" w:sz="4" w:space="0" w:color="auto"/>
            </w:tcBorders>
            <w:hideMark/>
          </w:tcPr>
          <w:p w:rsidR="0096231B" w:rsidRPr="00CE20F8" w:rsidRDefault="0096231B" w:rsidP="0096231B">
            <w:r w:rsidRPr="00CE20F8">
              <w:t>7nm</w:t>
            </w:r>
          </w:p>
        </w:tc>
        <w:tc>
          <w:tcPr>
            <w:tcW w:w="2103" w:type="dxa"/>
            <w:tcBorders>
              <w:top w:val="single" w:sz="4" w:space="0" w:color="auto"/>
              <w:left w:val="single" w:sz="4" w:space="0" w:color="auto"/>
              <w:bottom w:val="single" w:sz="4" w:space="0" w:color="auto"/>
              <w:right w:val="single" w:sz="4" w:space="0" w:color="auto"/>
            </w:tcBorders>
            <w:hideMark/>
          </w:tcPr>
          <w:p w:rsidR="0096231B" w:rsidRDefault="0096231B" w:rsidP="0096231B">
            <w:r w:rsidRPr="00CE20F8">
              <w:t>Small area, Low Power, Single Port Register File</w:t>
            </w:r>
          </w:p>
        </w:tc>
        <w:tc>
          <w:tcPr>
            <w:tcW w:w="1585" w:type="dxa"/>
            <w:tcBorders>
              <w:top w:val="single" w:sz="4" w:space="0" w:color="auto"/>
              <w:left w:val="single" w:sz="4" w:space="0" w:color="auto"/>
              <w:bottom w:val="single" w:sz="4" w:space="0" w:color="auto"/>
              <w:right w:val="single" w:sz="4" w:space="0" w:color="auto"/>
            </w:tcBorders>
          </w:tcPr>
          <w:p w:rsidR="0096231B" w:rsidRDefault="0096231B" w:rsidP="0096231B"/>
        </w:tc>
      </w:tr>
      <w:tr w:rsidR="003161FF" w:rsidTr="0096231B">
        <w:tc>
          <w:tcPr>
            <w:tcW w:w="2188" w:type="dxa"/>
            <w:tcBorders>
              <w:top w:val="single" w:sz="4" w:space="0" w:color="auto"/>
              <w:left w:val="single" w:sz="4" w:space="0" w:color="auto"/>
              <w:bottom w:val="single" w:sz="4" w:space="0" w:color="auto"/>
              <w:right w:val="single" w:sz="4" w:space="0" w:color="auto"/>
            </w:tcBorders>
          </w:tcPr>
          <w:p w:rsidR="003161FF" w:rsidRPr="00D430E8" w:rsidRDefault="003161FF" w:rsidP="003161FF">
            <w:r w:rsidRPr="00D430E8">
              <w:t>IGMDLRX01A</w:t>
            </w:r>
          </w:p>
        </w:tc>
        <w:tc>
          <w:tcPr>
            <w:tcW w:w="1940" w:type="dxa"/>
            <w:tcBorders>
              <w:top w:val="single" w:sz="4" w:space="0" w:color="auto"/>
              <w:left w:val="single" w:sz="4" w:space="0" w:color="auto"/>
              <w:bottom w:val="single" w:sz="4" w:space="0" w:color="auto"/>
              <w:right w:val="single" w:sz="4" w:space="0" w:color="auto"/>
            </w:tcBorders>
          </w:tcPr>
          <w:p w:rsidR="003161FF" w:rsidRPr="00D430E8" w:rsidRDefault="003161FF" w:rsidP="003161FF">
            <w:r w:rsidRPr="00D430E8">
              <w:t>6nm</w:t>
            </w:r>
          </w:p>
        </w:tc>
        <w:tc>
          <w:tcPr>
            <w:tcW w:w="2103" w:type="dxa"/>
            <w:tcBorders>
              <w:top w:val="single" w:sz="4" w:space="0" w:color="auto"/>
              <w:left w:val="single" w:sz="4" w:space="0" w:color="auto"/>
              <w:bottom w:val="single" w:sz="4" w:space="0" w:color="auto"/>
              <w:right w:val="single" w:sz="4" w:space="0" w:color="auto"/>
            </w:tcBorders>
          </w:tcPr>
          <w:p w:rsidR="003161FF" w:rsidRPr="00D430E8" w:rsidRDefault="003161FF" w:rsidP="003161FF">
            <w:r w:rsidRPr="00D430E8">
              <w:t>Async read and sync Write, ULVT, 2PRF compiler</w:t>
            </w:r>
          </w:p>
        </w:tc>
        <w:tc>
          <w:tcPr>
            <w:tcW w:w="1585" w:type="dxa"/>
            <w:tcBorders>
              <w:top w:val="single" w:sz="4" w:space="0" w:color="auto"/>
              <w:left w:val="single" w:sz="4" w:space="0" w:color="auto"/>
              <w:bottom w:val="single" w:sz="4" w:space="0" w:color="auto"/>
              <w:right w:val="single" w:sz="4" w:space="0" w:color="auto"/>
            </w:tcBorders>
          </w:tcPr>
          <w:p w:rsidR="003161FF" w:rsidRDefault="003161FF" w:rsidP="003161FF"/>
        </w:tc>
      </w:tr>
      <w:tr w:rsidR="003161FF" w:rsidTr="0096231B">
        <w:tc>
          <w:tcPr>
            <w:tcW w:w="2188" w:type="dxa"/>
            <w:tcBorders>
              <w:top w:val="single" w:sz="4" w:space="0" w:color="auto"/>
              <w:left w:val="single" w:sz="4" w:space="0" w:color="auto"/>
              <w:bottom w:val="single" w:sz="4" w:space="0" w:color="auto"/>
              <w:right w:val="single" w:sz="4" w:space="0" w:color="auto"/>
            </w:tcBorders>
          </w:tcPr>
          <w:p w:rsidR="003161FF" w:rsidRPr="00D430E8" w:rsidRDefault="003161FF" w:rsidP="003161FF">
            <w:r w:rsidRPr="00D430E8">
              <w:t>IGMSHDY01A</w:t>
            </w:r>
          </w:p>
        </w:tc>
        <w:tc>
          <w:tcPr>
            <w:tcW w:w="1940" w:type="dxa"/>
            <w:tcBorders>
              <w:top w:val="single" w:sz="4" w:space="0" w:color="auto"/>
              <w:left w:val="single" w:sz="4" w:space="0" w:color="auto"/>
              <w:bottom w:val="single" w:sz="4" w:space="0" w:color="auto"/>
              <w:right w:val="single" w:sz="4" w:space="0" w:color="auto"/>
            </w:tcBorders>
          </w:tcPr>
          <w:p w:rsidR="003161FF" w:rsidRPr="00D430E8" w:rsidRDefault="003161FF" w:rsidP="003161FF">
            <w:r w:rsidRPr="00D430E8">
              <w:t>5nm</w:t>
            </w:r>
          </w:p>
        </w:tc>
        <w:tc>
          <w:tcPr>
            <w:tcW w:w="2103" w:type="dxa"/>
            <w:tcBorders>
              <w:top w:val="single" w:sz="4" w:space="0" w:color="auto"/>
              <w:left w:val="single" w:sz="4" w:space="0" w:color="auto"/>
              <w:bottom w:val="single" w:sz="4" w:space="0" w:color="auto"/>
              <w:right w:val="single" w:sz="4" w:space="0" w:color="auto"/>
            </w:tcBorders>
          </w:tcPr>
          <w:p w:rsidR="003161FF" w:rsidRDefault="003161FF" w:rsidP="003161FF">
            <w:r w:rsidRPr="00D430E8">
              <w:t>Sync ULVT / LVT, high density single port SRAM compiler</w:t>
            </w:r>
          </w:p>
        </w:tc>
        <w:tc>
          <w:tcPr>
            <w:tcW w:w="1585" w:type="dxa"/>
            <w:tcBorders>
              <w:top w:val="single" w:sz="4" w:space="0" w:color="auto"/>
              <w:left w:val="single" w:sz="4" w:space="0" w:color="auto"/>
              <w:bottom w:val="single" w:sz="4" w:space="0" w:color="auto"/>
              <w:right w:val="single" w:sz="4" w:space="0" w:color="auto"/>
            </w:tcBorders>
          </w:tcPr>
          <w:p w:rsidR="003161FF" w:rsidRDefault="003161FF" w:rsidP="003161FF"/>
        </w:tc>
      </w:tr>
    </w:tbl>
    <w:p w:rsidR="008C2D74" w:rsidRPr="0096231B" w:rsidRDefault="008C2D74" w:rsidP="000779E9">
      <w:pPr>
        <w:widowControl/>
        <w:shd w:val="clear" w:color="auto" w:fill="FFFFFF"/>
        <w:spacing w:before="600" w:after="375" w:line="450" w:lineRule="atLeast"/>
        <w:outlineLvl w:val="2"/>
        <w:rPr>
          <w:rFonts w:ascii="Arial" w:eastAsia="微軟正黑體" w:hAnsi="Arial" w:cs="Arial"/>
          <w:b/>
          <w:bCs/>
          <w:color w:val="00897B"/>
          <w:kern w:val="0"/>
          <w:sz w:val="30"/>
          <w:szCs w:val="30"/>
        </w:rPr>
      </w:pPr>
    </w:p>
    <w:p w:rsidR="0037639F" w:rsidRPr="0037639F" w:rsidRDefault="0037639F" w:rsidP="0037639F">
      <w:pPr>
        <w:rPr>
          <w:rFonts w:ascii="Arial" w:eastAsia="微軟正黑體" w:hAnsi="Arial" w:cs="Arial"/>
          <w:b/>
          <w:bCs/>
          <w:color w:val="00897B"/>
          <w:kern w:val="0"/>
          <w:sz w:val="30"/>
          <w:szCs w:val="30"/>
        </w:rPr>
      </w:pPr>
      <w:r>
        <w:rPr>
          <w:rFonts w:ascii="Arial" w:eastAsia="微軟正黑體" w:hAnsi="Arial" w:cs="Arial"/>
          <w:b/>
          <w:bCs/>
          <w:color w:val="00897B"/>
          <w:kern w:val="0"/>
          <w:sz w:val="30"/>
          <w:szCs w:val="30"/>
        </w:rPr>
        <w:t>SoC</w:t>
      </w:r>
      <w:r w:rsidRPr="0037639F">
        <w:rPr>
          <w:rFonts w:ascii="Arial" w:eastAsia="微軟正黑體" w:hAnsi="Arial" w:cs="Arial"/>
          <w:b/>
          <w:bCs/>
          <w:color w:val="00897B"/>
          <w:kern w:val="0"/>
          <w:sz w:val="30"/>
          <w:szCs w:val="30"/>
        </w:rPr>
        <w:t xml:space="preserve"> IP </w:t>
      </w:r>
    </w:p>
    <w:p w:rsidR="0037639F" w:rsidRDefault="0037639F" w:rsidP="0037639F"/>
    <w:p w:rsidR="0037639F" w:rsidRDefault="0037639F" w:rsidP="0037639F">
      <w:pPr>
        <w:pStyle w:val="Web"/>
        <w:shd w:val="clear" w:color="auto" w:fill="FFFFFF"/>
        <w:spacing w:before="0" w:beforeAutospacing="0" w:after="320" w:afterAutospacing="0"/>
        <w:jc w:val="both"/>
        <w:rPr>
          <w:rFonts w:ascii="Arial" w:hAnsi="Arial" w:cs="Arial"/>
          <w:color w:val="565656"/>
          <w:spacing w:val="5"/>
          <w:shd w:val="clear" w:color="auto" w:fill="FFFFFF"/>
        </w:rPr>
      </w:pPr>
      <w:r>
        <w:rPr>
          <w:rFonts w:ascii="Arial" w:hAnsi="Arial" w:cs="Arial"/>
          <w:color w:val="565656"/>
          <w:spacing w:val="5"/>
          <w:shd w:val="clear" w:color="auto" w:fill="FFFFFF"/>
        </w:rPr>
        <w:t xml:space="preserve">GUC offers a wide range of SoC IPs for ASIC design across TSMC processes from 2nm to 65nm, including Phase-Lock-Loop (PLL), Chip </w:t>
      </w:r>
      <w:r>
        <w:rPr>
          <w:rFonts w:ascii="Arial" w:hAnsi="Arial" w:cs="Arial"/>
          <w:color w:val="565656"/>
          <w:spacing w:val="5"/>
          <w:shd w:val="clear" w:color="auto" w:fill="FFFFFF"/>
        </w:rPr>
        <w:lastRenderedPageBreak/>
        <w:t>Performance Monitor (CPM), and Voltage and Thermal Sensor (THM). GUC supports IP customization to meet customers’ specific functional and electrical requirements. By combining GUC’s SoC IPs with its design services, we enable customers to achieve high-quality ASICs with faster time-to-market.</w:t>
      </w:r>
    </w:p>
    <w:p w:rsidR="0037639F" w:rsidRDefault="0037639F" w:rsidP="0037639F">
      <w:pPr>
        <w:pStyle w:val="Web"/>
        <w:shd w:val="clear" w:color="auto" w:fill="FFFFFF"/>
        <w:spacing w:before="0" w:beforeAutospacing="0" w:after="320" w:afterAutospacing="0"/>
        <w:rPr>
          <w:rFonts w:ascii="Arial" w:hAnsi="Arial" w:cs="Arial"/>
          <w:color w:val="565656"/>
          <w:spacing w:val="5"/>
          <w:shd w:val="clear" w:color="auto" w:fill="FFFFFF"/>
        </w:rPr>
      </w:pPr>
      <w:r>
        <w:rPr>
          <w:rFonts w:ascii="Arial" w:hAnsi="Arial" w:cs="Arial"/>
          <w:color w:val="565656"/>
          <w:spacing w:val="5"/>
          <w:shd w:val="clear" w:color="auto" w:fill="FFFFFF"/>
        </w:rPr>
        <w:t>Phase-Lock-Loop (PLL)</w:t>
      </w:r>
    </w:p>
    <w:p w:rsidR="0037639F" w:rsidRDefault="0037639F" w:rsidP="0037639F">
      <w:pPr>
        <w:pStyle w:val="aa"/>
        <w:numPr>
          <w:ilvl w:val="0"/>
          <w:numId w:val="2"/>
        </w:numPr>
        <w:ind w:leftChars="0"/>
      </w:pPr>
      <w:r>
        <w:t>SoC clock generator PLL</w:t>
      </w:r>
    </w:p>
    <w:p w:rsidR="0037639F" w:rsidRDefault="0037639F" w:rsidP="0037639F">
      <w:pPr>
        <w:pStyle w:val="aa"/>
        <w:numPr>
          <w:ilvl w:val="0"/>
          <w:numId w:val="2"/>
        </w:numPr>
        <w:ind w:leftChars="0"/>
      </w:pPr>
      <w:r>
        <w:t>Split Spectrum PLL</w:t>
      </w:r>
    </w:p>
    <w:p w:rsidR="0037639F" w:rsidRDefault="0037639F" w:rsidP="0037639F">
      <w:pPr>
        <w:pStyle w:val="aa"/>
        <w:numPr>
          <w:ilvl w:val="0"/>
          <w:numId w:val="2"/>
        </w:numPr>
        <w:ind w:leftChars="0"/>
      </w:pPr>
      <w:r>
        <w:t>Low jitter PLL (rms jitter &lt; 0.5ps)</w:t>
      </w:r>
    </w:p>
    <w:p w:rsidR="0037639F" w:rsidRDefault="0037639F" w:rsidP="0037639F">
      <w:pPr>
        <w:pStyle w:val="Web"/>
        <w:shd w:val="clear" w:color="auto" w:fill="FFFFFF"/>
        <w:spacing w:before="0" w:beforeAutospacing="0" w:after="320" w:afterAutospacing="0"/>
        <w:rPr>
          <w:rFonts w:ascii="Arial" w:hAnsi="Arial" w:cs="Arial"/>
          <w:color w:val="565656"/>
          <w:spacing w:val="5"/>
          <w:shd w:val="clear" w:color="auto" w:fill="FFFFFF"/>
        </w:rPr>
      </w:pPr>
    </w:p>
    <w:p w:rsidR="0037639F" w:rsidRDefault="0037639F" w:rsidP="0037639F">
      <w:pPr>
        <w:pStyle w:val="Web"/>
        <w:shd w:val="clear" w:color="auto" w:fill="FFFFFF"/>
        <w:spacing w:before="0" w:beforeAutospacing="0" w:after="320" w:afterAutospacing="0"/>
        <w:rPr>
          <w:rFonts w:ascii="Arial" w:hAnsi="Arial" w:cs="Arial"/>
          <w:color w:val="565656"/>
          <w:spacing w:val="5"/>
          <w:shd w:val="clear" w:color="auto" w:fill="FFFFFF"/>
        </w:rPr>
      </w:pPr>
      <w:r>
        <w:rPr>
          <w:rFonts w:ascii="Arial" w:hAnsi="Arial" w:cs="Arial"/>
          <w:color w:val="565656"/>
          <w:spacing w:val="5"/>
          <w:shd w:val="clear" w:color="auto" w:fill="FFFFFF"/>
        </w:rPr>
        <w:t>Chip Performance Monitor (CPM)</w:t>
      </w:r>
    </w:p>
    <w:p w:rsidR="0037639F" w:rsidRDefault="0037639F" w:rsidP="0037639F">
      <w:pPr>
        <w:pStyle w:val="aa"/>
        <w:numPr>
          <w:ilvl w:val="0"/>
          <w:numId w:val="2"/>
        </w:numPr>
        <w:ind w:leftChars="0"/>
      </w:pPr>
      <w:r>
        <w:t>Ultra-high correlation with chip performance (95%)</w:t>
      </w:r>
    </w:p>
    <w:p w:rsidR="0037639F" w:rsidRDefault="0037639F" w:rsidP="0037639F">
      <w:pPr>
        <w:pStyle w:val="aa"/>
        <w:numPr>
          <w:ilvl w:val="0"/>
          <w:numId w:val="2"/>
        </w:numPr>
        <w:ind w:leftChars="0"/>
      </w:pPr>
      <w:r>
        <w:t>Cover all P.V.T. conditions</w:t>
      </w:r>
    </w:p>
    <w:p w:rsidR="0037639F" w:rsidRDefault="0037639F" w:rsidP="0037639F">
      <w:pPr>
        <w:pStyle w:val="aa"/>
        <w:numPr>
          <w:ilvl w:val="0"/>
          <w:numId w:val="2"/>
        </w:numPr>
        <w:ind w:leftChars="0"/>
      </w:pPr>
      <w:r>
        <w:t>IEEE paper: A Novel Machine-Learning based SoC Performance Monitoring Methodology under Wide-Range PVT Variations with Unknown Critical Paths</w:t>
      </w:r>
    </w:p>
    <w:p w:rsidR="0037639F" w:rsidRDefault="0037639F" w:rsidP="0037639F">
      <w:pPr>
        <w:pStyle w:val="aa"/>
        <w:numPr>
          <w:ilvl w:val="1"/>
          <w:numId w:val="2"/>
        </w:numPr>
        <w:ind w:leftChars="0"/>
      </w:pPr>
      <w:hyperlink r:id="rId7" w:history="1">
        <w:r>
          <w:rPr>
            <w:rStyle w:val="ac"/>
          </w:rPr>
          <w:t>https://ieeexplore.ieee.org/document/9586155</w:t>
        </w:r>
      </w:hyperlink>
      <w:r>
        <w:t xml:space="preserve"> </w:t>
      </w:r>
    </w:p>
    <w:p w:rsidR="0037639F" w:rsidRDefault="0037639F" w:rsidP="0037639F"/>
    <w:p w:rsidR="0037639F" w:rsidRDefault="0037639F" w:rsidP="0037639F">
      <w:pPr>
        <w:pStyle w:val="Web"/>
        <w:shd w:val="clear" w:color="auto" w:fill="FFFFFF"/>
        <w:spacing w:before="0" w:beforeAutospacing="0" w:after="320" w:afterAutospacing="0"/>
        <w:rPr>
          <w:rFonts w:ascii="Arial" w:hAnsi="Arial" w:cs="Arial"/>
          <w:color w:val="565656"/>
          <w:spacing w:val="5"/>
          <w:shd w:val="clear" w:color="auto" w:fill="FFFFFF"/>
        </w:rPr>
      </w:pPr>
      <w:r>
        <w:rPr>
          <w:rFonts w:ascii="Arial" w:hAnsi="Arial" w:cs="Arial"/>
          <w:color w:val="565656"/>
          <w:spacing w:val="5"/>
          <w:shd w:val="clear" w:color="auto" w:fill="FFFFFF"/>
        </w:rPr>
        <w:t>Voltage and Thermal Sensor (THM)</w:t>
      </w:r>
    </w:p>
    <w:p w:rsidR="0037639F" w:rsidRDefault="0037639F" w:rsidP="0037639F">
      <w:pPr>
        <w:pStyle w:val="aa"/>
        <w:numPr>
          <w:ilvl w:val="0"/>
          <w:numId w:val="2"/>
        </w:numPr>
        <w:ind w:leftChars="0"/>
      </w:pPr>
      <w:r>
        <w:t>Build in 10bit to 12bit ADC</w:t>
      </w:r>
    </w:p>
    <w:p w:rsidR="0037639F" w:rsidRDefault="0037639F" w:rsidP="0037639F">
      <w:pPr>
        <w:pStyle w:val="aa"/>
        <w:numPr>
          <w:ilvl w:val="0"/>
          <w:numId w:val="2"/>
        </w:numPr>
        <w:ind w:leftChars="0"/>
      </w:pPr>
      <w:r>
        <w:t xml:space="preserve">Build in 8 to 16 analog mux </w:t>
      </w:r>
    </w:p>
    <w:p w:rsidR="0037639F" w:rsidRDefault="0037639F" w:rsidP="0037639F">
      <w:pPr>
        <w:pStyle w:val="aa"/>
        <w:numPr>
          <w:ilvl w:val="0"/>
          <w:numId w:val="2"/>
        </w:numPr>
        <w:ind w:leftChars="0"/>
      </w:pPr>
      <w:r>
        <w:t>High linearity Input buffer to guarantee high input impedance</w:t>
      </w:r>
    </w:p>
    <w:p w:rsidR="0037639F" w:rsidRDefault="0037639F" w:rsidP="0037639F">
      <w:pPr>
        <w:pStyle w:val="aa"/>
        <w:numPr>
          <w:ilvl w:val="0"/>
          <w:numId w:val="2"/>
        </w:numPr>
        <w:ind w:leftChars="0"/>
      </w:pPr>
      <w:r>
        <w:t>3C accuracy without trimming requirement</w:t>
      </w:r>
    </w:p>
    <w:p w:rsidR="0037639F" w:rsidRDefault="0037639F" w:rsidP="0037639F">
      <w:pPr>
        <w:pStyle w:val="aa"/>
        <w:numPr>
          <w:ilvl w:val="0"/>
          <w:numId w:val="2"/>
        </w:numPr>
        <w:ind w:leftChars="0"/>
      </w:pPr>
      <w:r>
        <w:t>1C accuracy with trimming</w:t>
      </w:r>
    </w:p>
    <w:p w:rsidR="0037639F" w:rsidRDefault="0037639F" w:rsidP="0037639F"/>
    <w:p w:rsidR="0037639F" w:rsidRDefault="0037639F" w:rsidP="0037639F"/>
    <w:p w:rsidR="0037639F" w:rsidRDefault="0037639F" w:rsidP="0037639F"/>
    <w:p w:rsidR="0037639F" w:rsidRDefault="0037639F" w:rsidP="0037639F"/>
    <w:p w:rsidR="0037639F" w:rsidRDefault="0037639F" w:rsidP="0037639F">
      <w:pPr>
        <w:widowControl/>
      </w:pPr>
      <w:r>
        <w:rPr>
          <w:kern w:val="0"/>
        </w:rPr>
        <w:br w:type="page"/>
      </w:r>
    </w:p>
    <w:p w:rsidR="0037639F" w:rsidRDefault="0037639F" w:rsidP="0037639F">
      <w:pPr>
        <w:rPr>
          <w:b/>
          <w:bCs/>
          <w:sz w:val="28"/>
          <w:szCs w:val="28"/>
        </w:rPr>
      </w:pPr>
      <w:r>
        <w:rPr>
          <w:b/>
          <w:bCs/>
          <w:sz w:val="28"/>
          <w:szCs w:val="28"/>
        </w:rPr>
        <w:lastRenderedPageBreak/>
        <w:t>SoC IP Portfolio</w:t>
      </w:r>
    </w:p>
    <w:p w:rsidR="0037639F" w:rsidRDefault="0037639F" w:rsidP="0037639F"/>
    <w:tbl>
      <w:tblPr>
        <w:tblStyle w:val="11"/>
        <w:tblW w:w="10343" w:type="dxa"/>
        <w:tblInd w:w="0" w:type="dxa"/>
        <w:tblLook w:val="0420" w:firstRow="1" w:lastRow="0" w:firstColumn="0" w:lastColumn="0" w:noHBand="0" w:noVBand="1"/>
      </w:tblPr>
      <w:tblGrid>
        <w:gridCol w:w="1555"/>
        <w:gridCol w:w="1842"/>
        <w:gridCol w:w="4962"/>
        <w:gridCol w:w="1984"/>
      </w:tblGrid>
      <w:tr w:rsidR="0037639F" w:rsidTr="0037639F">
        <w:trPr>
          <w:cnfStyle w:val="100000000000" w:firstRow="1" w:lastRow="0" w:firstColumn="0" w:lastColumn="0" w:oddVBand="0" w:evenVBand="0" w:oddHBand="0" w:evenHBand="0" w:firstRowFirstColumn="0" w:firstRowLastColumn="0" w:lastRowFirstColumn="0" w:lastRowLastColumn="0"/>
          <w:trHeight w:val="414"/>
        </w:trPr>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639F" w:rsidRDefault="0037639F">
            <w:r>
              <w:t>Part Number</w:t>
            </w:r>
          </w:p>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639F" w:rsidRDefault="0037639F">
            <w:r>
              <w:t>Process</w:t>
            </w:r>
          </w:p>
        </w:tc>
        <w:tc>
          <w:tcPr>
            <w:tcW w:w="49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639F" w:rsidRDefault="0037639F">
            <w:r>
              <w:t>Description</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639F" w:rsidRDefault="0037639F">
            <w:r>
              <w:t>Download</w:t>
            </w:r>
          </w:p>
        </w:tc>
      </w:tr>
      <w:tr w:rsidR="0037639F" w:rsidTr="0037639F">
        <w:trPr>
          <w:cnfStyle w:val="000000100000" w:firstRow="0" w:lastRow="0" w:firstColumn="0" w:lastColumn="0" w:oddVBand="0" w:evenVBand="0" w:oddHBand="1" w:evenHBand="0" w:firstRowFirstColumn="0" w:firstRowLastColumn="0" w:lastRowFirstColumn="0" w:lastRowLastColumn="0"/>
          <w:trHeight w:val="345"/>
        </w:trPr>
        <w:tc>
          <w:tcPr>
            <w:tcW w:w="103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639F" w:rsidRDefault="0037639F">
            <w:r>
              <w:t>Phase-Lock-Loop (PLL)</w:t>
            </w:r>
          </w:p>
        </w:tc>
      </w:tr>
      <w:tr w:rsidR="0037639F" w:rsidTr="0037639F">
        <w:trPr>
          <w:trHeight w:val="345"/>
        </w:trPr>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639F" w:rsidRDefault="0037639F"/>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639F" w:rsidRDefault="0037639F">
            <w:r>
              <w:t>3 - 40 nm</w:t>
            </w:r>
          </w:p>
        </w:tc>
        <w:tc>
          <w:tcPr>
            <w:tcW w:w="49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639F" w:rsidRDefault="0037639F">
            <w:r>
              <w:t>General Purpose PLL</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639F" w:rsidRDefault="0037639F">
            <w:r>
              <w:t>IGAPLLX01A</w:t>
            </w:r>
          </w:p>
        </w:tc>
      </w:tr>
      <w:tr w:rsidR="0037639F" w:rsidTr="0037639F">
        <w:trPr>
          <w:cnfStyle w:val="000000100000" w:firstRow="0" w:lastRow="0" w:firstColumn="0" w:lastColumn="0" w:oddVBand="0" w:evenVBand="0" w:oddHBand="1" w:evenHBand="0" w:firstRowFirstColumn="0" w:firstRowLastColumn="0" w:lastRowFirstColumn="0" w:lastRowLastColumn="0"/>
          <w:trHeight w:val="345"/>
        </w:trPr>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639F" w:rsidRDefault="0037639F"/>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639F" w:rsidRDefault="0037639F">
            <w:r>
              <w:t>3 - 40nm</w:t>
            </w:r>
          </w:p>
        </w:tc>
        <w:tc>
          <w:tcPr>
            <w:tcW w:w="49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639F" w:rsidRDefault="0037639F">
            <w:r>
              <w:t>Split Spectrum PLL</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639F" w:rsidRDefault="0037639F">
            <w:r>
              <w:t>IGAPLLV06A</w:t>
            </w:r>
          </w:p>
        </w:tc>
      </w:tr>
      <w:tr w:rsidR="0037639F" w:rsidTr="0037639F">
        <w:trPr>
          <w:trHeight w:val="345"/>
        </w:trPr>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639F" w:rsidRDefault="0037639F"/>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639F" w:rsidRDefault="0037639F">
            <w:r>
              <w:t>7 – 28nm</w:t>
            </w:r>
          </w:p>
        </w:tc>
        <w:tc>
          <w:tcPr>
            <w:tcW w:w="49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639F" w:rsidRDefault="0037639F">
            <w:r>
              <w:t>Low jitter PLL</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639F" w:rsidRDefault="0037639F">
            <w:r>
              <w:t>IGAPLLX03A</w:t>
            </w:r>
          </w:p>
        </w:tc>
      </w:tr>
      <w:tr w:rsidR="0037639F" w:rsidTr="0037639F">
        <w:trPr>
          <w:cnfStyle w:val="000000100000" w:firstRow="0" w:lastRow="0" w:firstColumn="0" w:lastColumn="0" w:oddVBand="0" w:evenVBand="0" w:oddHBand="1" w:evenHBand="0" w:firstRowFirstColumn="0" w:firstRowLastColumn="0" w:lastRowFirstColumn="0" w:lastRowLastColumn="0"/>
          <w:trHeight w:val="345"/>
        </w:trPr>
        <w:tc>
          <w:tcPr>
            <w:tcW w:w="103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639F" w:rsidRDefault="0037639F">
            <w:r>
              <w:t>Chip Performance Monitor (CPM)</w:t>
            </w:r>
          </w:p>
        </w:tc>
      </w:tr>
      <w:tr w:rsidR="0037639F" w:rsidTr="0037639F">
        <w:trPr>
          <w:trHeight w:val="345"/>
        </w:trPr>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639F" w:rsidRDefault="0037639F"/>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639F" w:rsidRDefault="0037639F">
            <w:r>
              <w:t>3 - 16 nm</w:t>
            </w:r>
          </w:p>
        </w:tc>
        <w:tc>
          <w:tcPr>
            <w:tcW w:w="49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639F" w:rsidRDefault="0037639F">
            <w:r>
              <w:t>Chip Performance Monitor</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639F" w:rsidRDefault="0037639F">
            <w:r>
              <w:t>IGACPMX01A</w:t>
            </w:r>
          </w:p>
        </w:tc>
      </w:tr>
      <w:tr w:rsidR="0037639F" w:rsidTr="0037639F">
        <w:trPr>
          <w:cnfStyle w:val="000000100000" w:firstRow="0" w:lastRow="0" w:firstColumn="0" w:lastColumn="0" w:oddVBand="0" w:evenVBand="0" w:oddHBand="1" w:evenHBand="0" w:firstRowFirstColumn="0" w:firstRowLastColumn="0" w:lastRowFirstColumn="0" w:lastRowLastColumn="0"/>
          <w:trHeight w:val="345"/>
        </w:trPr>
        <w:tc>
          <w:tcPr>
            <w:tcW w:w="10343"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639F" w:rsidRDefault="0037639F">
            <w:r>
              <w:t>Voltage and Thermal Sensor (THM)</w:t>
            </w:r>
          </w:p>
        </w:tc>
      </w:tr>
      <w:tr w:rsidR="0037639F" w:rsidTr="0037639F">
        <w:trPr>
          <w:trHeight w:val="345"/>
        </w:trPr>
        <w:tc>
          <w:tcPr>
            <w:tcW w:w="155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37639F" w:rsidRDefault="0037639F"/>
        </w:tc>
        <w:tc>
          <w:tcPr>
            <w:tcW w:w="18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639F" w:rsidRDefault="0037639F">
            <w:r>
              <w:t>3 - 28 nm</w:t>
            </w:r>
          </w:p>
        </w:tc>
        <w:tc>
          <w:tcPr>
            <w:tcW w:w="496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639F" w:rsidRDefault="0037639F">
            <w:r>
              <w:t>Voltage and Temperature Sensor</w:t>
            </w:r>
          </w:p>
        </w:tc>
        <w:tc>
          <w:tcPr>
            <w:tcW w:w="198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37639F" w:rsidRDefault="0037639F">
            <w:r>
              <w:t>IGATHMX02A</w:t>
            </w:r>
          </w:p>
        </w:tc>
      </w:tr>
    </w:tbl>
    <w:p w:rsidR="0037639F" w:rsidRDefault="0037639F" w:rsidP="0037639F"/>
    <w:p w:rsidR="0037639F" w:rsidRDefault="0037639F" w:rsidP="0037639F"/>
    <w:p w:rsidR="0037639F" w:rsidRDefault="0037639F" w:rsidP="0037639F"/>
    <w:p w:rsidR="008C2D74" w:rsidRDefault="008C2D74" w:rsidP="000779E9">
      <w:pPr>
        <w:widowControl/>
        <w:shd w:val="clear" w:color="auto" w:fill="FFFFFF"/>
        <w:spacing w:before="600" w:after="375" w:line="450" w:lineRule="atLeast"/>
        <w:outlineLvl w:val="2"/>
        <w:rPr>
          <w:rFonts w:ascii="Arial" w:eastAsia="微軟正黑體" w:hAnsi="Arial" w:cs="Arial"/>
          <w:b/>
          <w:bCs/>
          <w:color w:val="00897B"/>
          <w:kern w:val="0"/>
          <w:sz w:val="30"/>
          <w:szCs w:val="30"/>
        </w:rPr>
      </w:pPr>
    </w:p>
    <w:p w:rsidR="008C2D74" w:rsidRDefault="008C2D74" w:rsidP="000779E9">
      <w:pPr>
        <w:widowControl/>
        <w:shd w:val="clear" w:color="auto" w:fill="FFFFFF"/>
        <w:spacing w:before="600" w:after="375" w:line="450" w:lineRule="atLeast"/>
        <w:outlineLvl w:val="2"/>
        <w:rPr>
          <w:rFonts w:ascii="Arial" w:eastAsia="微軟正黑體" w:hAnsi="Arial" w:cs="Arial"/>
          <w:b/>
          <w:bCs/>
          <w:color w:val="00897B"/>
          <w:kern w:val="0"/>
          <w:sz w:val="30"/>
          <w:szCs w:val="30"/>
        </w:rPr>
      </w:pPr>
    </w:p>
    <w:p w:rsidR="008C2D74" w:rsidRDefault="008C2D74" w:rsidP="000779E9">
      <w:pPr>
        <w:widowControl/>
        <w:shd w:val="clear" w:color="auto" w:fill="FFFFFF"/>
        <w:spacing w:before="600" w:after="375" w:line="450" w:lineRule="atLeast"/>
        <w:outlineLvl w:val="2"/>
        <w:rPr>
          <w:rFonts w:ascii="Arial" w:eastAsia="微軟正黑體" w:hAnsi="Arial" w:cs="Arial"/>
          <w:b/>
          <w:bCs/>
          <w:color w:val="00897B"/>
          <w:kern w:val="0"/>
          <w:sz w:val="30"/>
          <w:szCs w:val="30"/>
        </w:rPr>
      </w:pPr>
    </w:p>
    <w:sectPr w:rsidR="008C2D7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E93" w:rsidRDefault="000D3E93" w:rsidP="0069256D">
      <w:r>
        <w:separator/>
      </w:r>
    </w:p>
  </w:endnote>
  <w:endnote w:type="continuationSeparator" w:id="0">
    <w:p w:rsidR="000D3E93" w:rsidRDefault="000D3E93" w:rsidP="00692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軟正黑體">
    <w:panose1 w:val="020B0604030504040204"/>
    <w:charset w:val="88"/>
    <w:family w:val="swiss"/>
    <w:pitch w:val="variable"/>
    <w:sig w:usb0="000002A7" w:usb1="28CF4400" w:usb2="00000016" w:usb3="00000000" w:csb0="00100009"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E93" w:rsidRDefault="000D3E93" w:rsidP="0069256D">
      <w:r>
        <w:separator/>
      </w:r>
    </w:p>
  </w:footnote>
  <w:footnote w:type="continuationSeparator" w:id="0">
    <w:p w:rsidR="000D3E93" w:rsidRDefault="000D3E93" w:rsidP="0069256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17EB5"/>
    <w:multiLevelType w:val="multilevel"/>
    <w:tmpl w:val="62D62D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C550E3D"/>
    <w:multiLevelType w:val="hybridMultilevel"/>
    <w:tmpl w:val="CABC24C6"/>
    <w:lvl w:ilvl="0" w:tplc="0409000B">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start w:val="1"/>
      <w:numFmt w:val="bullet"/>
      <w:lvlText w:val=""/>
      <w:lvlJc w:val="left"/>
      <w:pPr>
        <w:ind w:left="1440" w:hanging="480"/>
      </w:pPr>
      <w:rPr>
        <w:rFonts w:ascii="Wingdings" w:hAnsi="Wingdings" w:hint="default"/>
      </w:rPr>
    </w:lvl>
    <w:lvl w:ilvl="3" w:tplc="04090001">
      <w:start w:val="1"/>
      <w:numFmt w:val="bullet"/>
      <w:lvlText w:val=""/>
      <w:lvlJc w:val="left"/>
      <w:pPr>
        <w:ind w:left="1920" w:hanging="480"/>
      </w:pPr>
      <w:rPr>
        <w:rFonts w:ascii="Wingdings" w:hAnsi="Wingdings" w:hint="default"/>
      </w:rPr>
    </w:lvl>
    <w:lvl w:ilvl="4" w:tplc="04090003">
      <w:start w:val="1"/>
      <w:numFmt w:val="bullet"/>
      <w:lvlText w:val=""/>
      <w:lvlJc w:val="left"/>
      <w:pPr>
        <w:ind w:left="2400" w:hanging="480"/>
      </w:pPr>
      <w:rPr>
        <w:rFonts w:ascii="Wingdings" w:hAnsi="Wingdings" w:hint="default"/>
      </w:rPr>
    </w:lvl>
    <w:lvl w:ilvl="5" w:tplc="04090005">
      <w:start w:val="1"/>
      <w:numFmt w:val="bullet"/>
      <w:lvlText w:val=""/>
      <w:lvlJc w:val="left"/>
      <w:pPr>
        <w:ind w:left="2880" w:hanging="480"/>
      </w:pPr>
      <w:rPr>
        <w:rFonts w:ascii="Wingdings" w:hAnsi="Wingdings" w:hint="default"/>
      </w:rPr>
    </w:lvl>
    <w:lvl w:ilvl="6" w:tplc="04090001">
      <w:start w:val="1"/>
      <w:numFmt w:val="bullet"/>
      <w:lvlText w:val=""/>
      <w:lvlJc w:val="left"/>
      <w:pPr>
        <w:ind w:left="3360" w:hanging="480"/>
      </w:pPr>
      <w:rPr>
        <w:rFonts w:ascii="Wingdings" w:hAnsi="Wingdings" w:hint="default"/>
      </w:rPr>
    </w:lvl>
    <w:lvl w:ilvl="7" w:tplc="04090003">
      <w:start w:val="1"/>
      <w:numFmt w:val="bullet"/>
      <w:lvlText w:val=""/>
      <w:lvlJc w:val="left"/>
      <w:pPr>
        <w:ind w:left="3840" w:hanging="480"/>
      </w:pPr>
      <w:rPr>
        <w:rFonts w:ascii="Wingdings" w:hAnsi="Wingdings" w:hint="default"/>
      </w:rPr>
    </w:lvl>
    <w:lvl w:ilvl="8" w:tplc="04090005">
      <w:start w:val="1"/>
      <w:numFmt w:val="bullet"/>
      <w:lvlText w:val=""/>
      <w:lvlJc w:val="left"/>
      <w:pPr>
        <w:ind w:left="4320" w:hanging="480"/>
      </w:pPr>
      <w:rPr>
        <w:rFonts w:ascii="Wingdings" w:hAnsi="Wingdings" w:hint="default"/>
      </w:rPr>
    </w:lvl>
  </w:abstractNum>
  <w:num w:numId="1">
    <w:abstractNumId w:val="0"/>
  </w:num>
  <w:num w:numId="2">
    <w:abstractNumId w:val="1"/>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CC4"/>
    <w:rsid w:val="00016316"/>
    <w:rsid w:val="00034944"/>
    <w:rsid w:val="00053A44"/>
    <w:rsid w:val="00056403"/>
    <w:rsid w:val="000779E9"/>
    <w:rsid w:val="000B1691"/>
    <w:rsid w:val="000D3E93"/>
    <w:rsid w:val="00142D9A"/>
    <w:rsid w:val="00155C34"/>
    <w:rsid w:val="001715E2"/>
    <w:rsid w:val="001B630C"/>
    <w:rsid w:val="001C16B2"/>
    <w:rsid w:val="00226032"/>
    <w:rsid w:val="002D38B3"/>
    <w:rsid w:val="00315EB1"/>
    <w:rsid w:val="003161FF"/>
    <w:rsid w:val="0032734C"/>
    <w:rsid w:val="00330E7F"/>
    <w:rsid w:val="00340CA7"/>
    <w:rsid w:val="0037639F"/>
    <w:rsid w:val="003C1C22"/>
    <w:rsid w:val="004147AD"/>
    <w:rsid w:val="00423919"/>
    <w:rsid w:val="00444AC4"/>
    <w:rsid w:val="004F5AED"/>
    <w:rsid w:val="00502012"/>
    <w:rsid w:val="0058160C"/>
    <w:rsid w:val="00593944"/>
    <w:rsid w:val="0060736F"/>
    <w:rsid w:val="00691146"/>
    <w:rsid w:val="0069256D"/>
    <w:rsid w:val="006B0246"/>
    <w:rsid w:val="006F0F5B"/>
    <w:rsid w:val="00776F87"/>
    <w:rsid w:val="007908CC"/>
    <w:rsid w:val="007A118C"/>
    <w:rsid w:val="008520D7"/>
    <w:rsid w:val="008C2D74"/>
    <w:rsid w:val="00936F8F"/>
    <w:rsid w:val="0096231B"/>
    <w:rsid w:val="009636FB"/>
    <w:rsid w:val="009C0A49"/>
    <w:rsid w:val="009D3A48"/>
    <w:rsid w:val="00A21736"/>
    <w:rsid w:val="00A41475"/>
    <w:rsid w:val="00A44EC5"/>
    <w:rsid w:val="00A626F6"/>
    <w:rsid w:val="00B200F2"/>
    <w:rsid w:val="00B44F05"/>
    <w:rsid w:val="00B62B12"/>
    <w:rsid w:val="00B72948"/>
    <w:rsid w:val="00B94E9E"/>
    <w:rsid w:val="00BC311C"/>
    <w:rsid w:val="00C40206"/>
    <w:rsid w:val="00C53D76"/>
    <w:rsid w:val="00C959A4"/>
    <w:rsid w:val="00C96521"/>
    <w:rsid w:val="00C965BB"/>
    <w:rsid w:val="00CD3202"/>
    <w:rsid w:val="00CF2E17"/>
    <w:rsid w:val="00D316F0"/>
    <w:rsid w:val="00DB44C6"/>
    <w:rsid w:val="00DB5CC4"/>
    <w:rsid w:val="00DB79B8"/>
    <w:rsid w:val="00DC768C"/>
    <w:rsid w:val="00DD04BE"/>
    <w:rsid w:val="00DF36FE"/>
    <w:rsid w:val="00E1009F"/>
    <w:rsid w:val="00E23EE8"/>
    <w:rsid w:val="00EA2240"/>
    <w:rsid w:val="00F751CA"/>
    <w:rsid w:val="00F84019"/>
    <w:rsid w:val="00FC039A"/>
    <w:rsid w:val="00FD60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9E84F2"/>
  <w15:docId w15:val="{287F752C-43E6-4150-8E41-FDFE44C4DC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paragraph" w:styleId="1">
    <w:name w:val="heading 1"/>
    <w:basedOn w:val="a"/>
    <w:next w:val="a"/>
    <w:link w:val="10"/>
    <w:uiPriority w:val="9"/>
    <w:qFormat/>
    <w:rsid w:val="000779E9"/>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3">
    <w:name w:val="heading 3"/>
    <w:basedOn w:val="a"/>
    <w:link w:val="30"/>
    <w:uiPriority w:val="9"/>
    <w:qFormat/>
    <w:rsid w:val="00DB5CC4"/>
    <w:pPr>
      <w:widowControl/>
      <w:spacing w:before="100" w:beforeAutospacing="1" w:after="100" w:afterAutospacing="1"/>
      <w:outlineLvl w:val="2"/>
    </w:pPr>
    <w:rPr>
      <w:rFonts w:ascii="新細明體" w:eastAsia="新細明體" w:hAnsi="新細明體" w:cs="新細明體"/>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標題 3 字元"/>
    <w:basedOn w:val="a0"/>
    <w:link w:val="3"/>
    <w:uiPriority w:val="9"/>
    <w:rsid w:val="00DB5CC4"/>
    <w:rPr>
      <w:rFonts w:ascii="新細明體" w:eastAsia="新細明體" w:hAnsi="新細明體" w:cs="新細明體"/>
      <w:b/>
      <w:bCs/>
      <w:kern w:val="0"/>
      <w:sz w:val="27"/>
      <w:szCs w:val="27"/>
    </w:rPr>
  </w:style>
  <w:style w:type="paragraph" w:styleId="Web">
    <w:name w:val="Normal (Web)"/>
    <w:basedOn w:val="a"/>
    <w:uiPriority w:val="99"/>
    <w:unhideWhenUsed/>
    <w:rsid w:val="00DB5CC4"/>
    <w:pPr>
      <w:widowControl/>
      <w:spacing w:before="100" w:beforeAutospacing="1" w:after="100" w:afterAutospacing="1"/>
    </w:pPr>
    <w:rPr>
      <w:rFonts w:ascii="新細明體" w:eastAsia="新細明體" w:hAnsi="新細明體" w:cs="新細明體"/>
      <w:kern w:val="0"/>
      <w:szCs w:val="24"/>
    </w:rPr>
  </w:style>
  <w:style w:type="character" w:styleId="a3">
    <w:name w:val="Strong"/>
    <w:basedOn w:val="a0"/>
    <w:uiPriority w:val="22"/>
    <w:qFormat/>
    <w:rsid w:val="00DB5CC4"/>
    <w:rPr>
      <w:b/>
      <w:bCs/>
    </w:rPr>
  </w:style>
  <w:style w:type="paragraph" w:styleId="a4">
    <w:name w:val="Balloon Text"/>
    <w:basedOn w:val="a"/>
    <w:link w:val="a5"/>
    <w:uiPriority w:val="99"/>
    <w:semiHidden/>
    <w:unhideWhenUsed/>
    <w:rsid w:val="00DB5CC4"/>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DB5CC4"/>
    <w:rPr>
      <w:rFonts w:asciiTheme="majorHAnsi" w:eastAsiaTheme="majorEastAsia" w:hAnsiTheme="majorHAnsi" w:cstheme="majorBidi"/>
      <w:sz w:val="18"/>
      <w:szCs w:val="18"/>
    </w:rPr>
  </w:style>
  <w:style w:type="character" w:customStyle="1" w:styleId="10">
    <w:name w:val="標題 1 字元"/>
    <w:basedOn w:val="a0"/>
    <w:link w:val="1"/>
    <w:uiPriority w:val="9"/>
    <w:rsid w:val="000779E9"/>
    <w:rPr>
      <w:rFonts w:asciiTheme="majorHAnsi" w:eastAsiaTheme="majorEastAsia" w:hAnsiTheme="majorHAnsi" w:cstheme="majorBidi"/>
      <w:b/>
      <w:bCs/>
      <w:kern w:val="52"/>
      <w:sz w:val="52"/>
      <w:szCs w:val="52"/>
    </w:rPr>
  </w:style>
  <w:style w:type="paragraph" w:styleId="a6">
    <w:name w:val="header"/>
    <w:basedOn w:val="a"/>
    <w:link w:val="a7"/>
    <w:uiPriority w:val="99"/>
    <w:unhideWhenUsed/>
    <w:rsid w:val="0069256D"/>
    <w:pPr>
      <w:tabs>
        <w:tab w:val="center" w:pos="4153"/>
        <w:tab w:val="right" w:pos="8306"/>
      </w:tabs>
      <w:snapToGrid w:val="0"/>
    </w:pPr>
    <w:rPr>
      <w:sz w:val="20"/>
      <w:szCs w:val="20"/>
    </w:rPr>
  </w:style>
  <w:style w:type="character" w:customStyle="1" w:styleId="a7">
    <w:name w:val="頁首 字元"/>
    <w:basedOn w:val="a0"/>
    <w:link w:val="a6"/>
    <w:uiPriority w:val="99"/>
    <w:rsid w:val="0069256D"/>
    <w:rPr>
      <w:sz w:val="20"/>
      <w:szCs w:val="20"/>
    </w:rPr>
  </w:style>
  <w:style w:type="paragraph" w:styleId="a8">
    <w:name w:val="footer"/>
    <w:basedOn w:val="a"/>
    <w:link w:val="a9"/>
    <w:uiPriority w:val="99"/>
    <w:unhideWhenUsed/>
    <w:rsid w:val="0069256D"/>
    <w:pPr>
      <w:tabs>
        <w:tab w:val="center" w:pos="4153"/>
        <w:tab w:val="right" w:pos="8306"/>
      </w:tabs>
      <w:snapToGrid w:val="0"/>
    </w:pPr>
    <w:rPr>
      <w:sz w:val="20"/>
      <w:szCs w:val="20"/>
    </w:rPr>
  </w:style>
  <w:style w:type="character" w:customStyle="1" w:styleId="a9">
    <w:name w:val="頁尾 字元"/>
    <w:basedOn w:val="a0"/>
    <w:link w:val="a8"/>
    <w:uiPriority w:val="99"/>
    <w:rsid w:val="0069256D"/>
    <w:rPr>
      <w:sz w:val="20"/>
      <w:szCs w:val="20"/>
    </w:rPr>
  </w:style>
  <w:style w:type="paragraph" w:styleId="aa">
    <w:name w:val="List Paragraph"/>
    <w:basedOn w:val="a"/>
    <w:uiPriority w:val="34"/>
    <w:qFormat/>
    <w:rsid w:val="0096231B"/>
    <w:pPr>
      <w:ind w:leftChars="200" w:left="480"/>
    </w:pPr>
  </w:style>
  <w:style w:type="table" w:styleId="ab">
    <w:name w:val="Table Grid"/>
    <w:basedOn w:val="a1"/>
    <w:uiPriority w:val="59"/>
    <w:rsid w:val="0096231B"/>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semiHidden/>
    <w:unhideWhenUsed/>
    <w:rsid w:val="0037639F"/>
    <w:rPr>
      <w:color w:val="0000FF" w:themeColor="hyperlink"/>
      <w:u w:val="single"/>
    </w:rPr>
  </w:style>
  <w:style w:type="table" w:styleId="11">
    <w:name w:val="Plain Table 1"/>
    <w:basedOn w:val="a1"/>
    <w:uiPriority w:val="41"/>
    <w:rsid w:val="0037639F"/>
    <w:rPr>
      <w:rFonts w:eastAsia="Times New Roman"/>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3363931">
      <w:bodyDiv w:val="1"/>
      <w:marLeft w:val="0"/>
      <w:marRight w:val="0"/>
      <w:marTop w:val="0"/>
      <w:marBottom w:val="0"/>
      <w:divBdr>
        <w:top w:val="none" w:sz="0" w:space="0" w:color="auto"/>
        <w:left w:val="none" w:sz="0" w:space="0" w:color="auto"/>
        <w:bottom w:val="none" w:sz="0" w:space="0" w:color="auto"/>
        <w:right w:val="none" w:sz="0" w:space="0" w:color="auto"/>
      </w:divBdr>
    </w:div>
    <w:div w:id="601302435">
      <w:bodyDiv w:val="1"/>
      <w:marLeft w:val="0"/>
      <w:marRight w:val="0"/>
      <w:marTop w:val="0"/>
      <w:marBottom w:val="0"/>
      <w:divBdr>
        <w:top w:val="none" w:sz="0" w:space="0" w:color="auto"/>
        <w:left w:val="none" w:sz="0" w:space="0" w:color="auto"/>
        <w:bottom w:val="none" w:sz="0" w:space="0" w:color="auto"/>
        <w:right w:val="none" w:sz="0" w:space="0" w:color="auto"/>
      </w:divBdr>
      <w:divsChild>
        <w:div w:id="635112846">
          <w:marLeft w:val="0"/>
          <w:marRight w:val="0"/>
          <w:marTop w:val="0"/>
          <w:marBottom w:val="0"/>
          <w:divBdr>
            <w:top w:val="none" w:sz="0" w:space="0" w:color="auto"/>
            <w:left w:val="none" w:sz="0" w:space="0" w:color="auto"/>
            <w:bottom w:val="none" w:sz="0" w:space="0" w:color="auto"/>
            <w:right w:val="none" w:sz="0" w:space="0" w:color="auto"/>
          </w:divBdr>
        </w:div>
      </w:divsChild>
    </w:div>
    <w:div w:id="974215573">
      <w:bodyDiv w:val="1"/>
      <w:marLeft w:val="0"/>
      <w:marRight w:val="0"/>
      <w:marTop w:val="0"/>
      <w:marBottom w:val="0"/>
      <w:divBdr>
        <w:top w:val="none" w:sz="0" w:space="0" w:color="auto"/>
        <w:left w:val="none" w:sz="0" w:space="0" w:color="auto"/>
        <w:bottom w:val="none" w:sz="0" w:space="0" w:color="auto"/>
        <w:right w:val="none" w:sz="0" w:space="0" w:color="auto"/>
      </w:divBdr>
    </w:div>
    <w:div w:id="1115977908">
      <w:bodyDiv w:val="1"/>
      <w:marLeft w:val="0"/>
      <w:marRight w:val="0"/>
      <w:marTop w:val="0"/>
      <w:marBottom w:val="0"/>
      <w:divBdr>
        <w:top w:val="none" w:sz="0" w:space="0" w:color="auto"/>
        <w:left w:val="none" w:sz="0" w:space="0" w:color="auto"/>
        <w:bottom w:val="none" w:sz="0" w:space="0" w:color="auto"/>
        <w:right w:val="none" w:sz="0" w:space="0" w:color="auto"/>
      </w:divBdr>
      <w:divsChild>
        <w:div w:id="283467128">
          <w:marLeft w:val="0"/>
          <w:marRight w:val="0"/>
          <w:marTop w:val="0"/>
          <w:marBottom w:val="0"/>
          <w:divBdr>
            <w:top w:val="none" w:sz="0" w:space="0" w:color="auto"/>
            <w:left w:val="none" w:sz="0" w:space="0" w:color="auto"/>
            <w:bottom w:val="none" w:sz="0" w:space="0" w:color="auto"/>
            <w:right w:val="none" w:sz="0" w:space="0" w:color="auto"/>
          </w:divBdr>
        </w:div>
      </w:divsChild>
    </w:div>
    <w:div w:id="1312782755">
      <w:bodyDiv w:val="1"/>
      <w:marLeft w:val="0"/>
      <w:marRight w:val="0"/>
      <w:marTop w:val="0"/>
      <w:marBottom w:val="0"/>
      <w:divBdr>
        <w:top w:val="none" w:sz="0" w:space="0" w:color="auto"/>
        <w:left w:val="none" w:sz="0" w:space="0" w:color="auto"/>
        <w:bottom w:val="none" w:sz="0" w:space="0" w:color="auto"/>
        <w:right w:val="none" w:sz="0" w:space="0" w:color="auto"/>
      </w:divBdr>
    </w:div>
    <w:div w:id="1503741640">
      <w:bodyDiv w:val="1"/>
      <w:marLeft w:val="0"/>
      <w:marRight w:val="0"/>
      <w:marTop w:val="0"/>
      <w:marBottom w:val="0"/>
      <w:divBdr>
        <w:top w:val="none" w:sz="0" w:space="0" w:color="auto"/>
        <w:left w:val="none" w:sz="0" w:space="0" w:color="auto"/>
        <w:bottom w:val="none" w:sz="0" w:space="0" w:color="auto"/>
        <w:right w:val="none" w:sz="0" w:space="0" w:color="auto"/>
      </w:divBdr>
      <w:divsChild>
        <w:div w:id="1205214462">
          <w:marLeft w:val="0"/>
          <w:marRight w:val="0"/>
          <w:marTop w:val="0"/>
          <w:marBottom w:val="0"/>
          <w:divBdr>
            <w:top w:val="none" w:sz="0" w:space="0" w:color="auto"/>
            <w:left w:val="none" w:sz="0" w:space="0" w:color="auto"/>
            <w:bottom w:val="none" w:sz="0" w:space="0" w:color="auto"/>
            <w:right w:val="none" w:sz="0" w:space="0" w:color="auto"/>
          </w:divBdr>
        </w:div>
      </w:divsChild>
    </w:div>
    <w:div w:id="1518428628">
      <w:bodyDiv w:val="1"/>
      <w:marLeft w:val="0"/>
      <w:marRight w:val="0"/>
      <w:marTop w:val="0"/>
      <w:marBottom w:val="0"/>
      <w:divBdr>
        <w:top w:val="none" w:sz="0" w:space="0" w:color="auto"/>
        <w:left w:val="none" w:sz="0" w:space="0" w:color="auto"/>
        <w:bottom w:val="none" w:sz="0" w:space="0" w:color="auto"/>
        <w:right w:val="none" w:sz="0" w:space="0" w:color="auto"/>
      </w:divBdr>
    </w:div>
    <w:div w:id="1539127337">
      <w:bodyDiv w:val="1"/>
      <w:marLeft w:val="0"/>
      <w:marRight w:val="0"/>
      <w:marTop w:val="0"/>
      <w:marBottom w:val="0"/>
      <w:divBdr>
        <w:top w:val="none" w:sz="0" w:space="0" w:color="auto"/>
        <w:left w:val="none" w:sz="0" w:space="0" w:color="auto"/>
        <w:bottom w:val="none" w:sz="0" w:space="0" w:color="auto"/>
        <w:right w:val="none" w:sz="0" w:space="0" w:color="auto"/>
      </w:divBdr>
      <w:divsChild>
        <w:div w:id="82147878">
          <w:marLeft w:val="0"/>
          <w:marRight w:val="0"/>
          <w:marTop w:val="0"/>
          <w:marBottom w:val="0"/>
          <w:divBdr>
            <w:top w:val="none" w:sz="0" w:space="0" w:color="auto"/>
            <w:left w:val="none" w:sz="0" w:space="0" w:color="auto"/>
            <w:bottom w:val="none" w:sz="0" w:space="0" w:color="auto"/>
            <w:right w:val="none" w:sz="0" w:space="0" w:color="auto"/>
          </w:divBdr>
        </w:div>
      </w:divsChild>
    </w:div>
    <w:div w:id="1543246953">
      <w:bodyDiv w:val="1"/>
      <w:marLeft w:val="0"/>
      <w:marRight w:val="0"/>
      <w:marTop w:val="0"/>
      <w:marBottom w:val="0"/>
      <w:divBdr>
        <w:top w:val="none" w:sz="0" w:space="0" w:color="auto"/>
        <w:left w:val="none" w:sz="0" w:space="0" w:color="auto"/>
        <w:bottom w:val="none" w:sz="0" w:space="0" w:color="auto"/>
        <w:right w:val="none" w:sz="0" w:space="0" w:color="auto"/>
      </w:divBdr>
    </w:div>
    <w:div w:id="1643339805">
      <w:bodyDiv w:val="1"/>
      <w:marLeft w:val="0"/>
      <w:marRight w:val="0"/>
      <w:marTop w:val="0"/>
      <w:marBottom w:val="0"/>
      <w:divBdr>
        <w:top w:val="none" w:sz="0" w:space="0" w:color="auto"/>
        <w:left w:val="none" w:sz="0" w:space="0" w:color="auto"/>
        <w:bottom w:val="none" w:sz="0" w:space="0" w:color="auto"/>
        <w:right w:val="none" w:sz="0" w:space="0" w:color="auto"/>
      </w:divBdr>
    </w:div>
    <w:div w:id="1656449329">
      <w:bodyDiv w:val="1"/>
      <w:marLeft w:val="0"/>
      <w:marRight w:val="0"/>
      <w:marTop w:val="0"/>
      <w:marBottom w:val="0"/>
      <w:divBdr>
        <w:top w:val="none" w:sz="0" w:space="0" w:color="auto"/>
        <w:left w:val="none" w:sz="0" w:space="0" w:color="auto"/>
        <w:bottom w:val="none" w:sz="0" w:space="0" w:color="auto"/>
        <w:right w:val="none" w:sz="0" w:space="0" w:color="auto"/>
      </w:divBdr>
    </w:div>
    <w:div w:id="1693870901">
      <w:bodyDiv w:val="1"/>
      <w:marLeft w:val="0"/>
      <w:marRight w:val="0"/>
      <w:marTop w:val="0"/>
      <w:marBottom w:val="0"/>
      <w:divBdr>
        <w:top w:val="none" w:sz="0" w:space="0" w:color="auto"/>
        <w:left w:val="none" w:sz="0" w:space="0" w:color="auto"/>
        <w:bottom w:val="none" w:sz="0" w:space="0" w:color="auto"/>
        <w:right w:val="none" w:sz="0" w:space="0" w:color="auto"/>
      </w:divBdr>
      <w:divsChild>
        <w:div w:id="1272129262">
          <w:marLeft w:val="0"/>
          <w:marRight w:val="0"/>
          <w:marTop w:val="0"/>
          <w:marBottom w:val="0"/>
          <w:divBdr>
            <w:top w:val="none" w:sz="0" w:space="0" w:color="auto"/>
            <w:left w:val="none" w:sz="0" w:space="0" w:color="auto"/>
            <w:bottom w:val="none" w:sz="0" w:space="0" w:color="auto"/>
            <w:right w:val="none" w:sz="0" w:space="0" w:color="auto"/>
          </w:divBdr>
        </w:div>
      </w:divsChild>
    </w:div>
    <w:div w:id="1910457770">
      <w:bodyDiv w:val="1"/>
      <w:marLeft w:val="0"/>
      <w:marRight w:val="0"/>
      <w:marTop w:val="0"/>
      <w:marBottom w:val="0"/>
      <w:divBdr>
        <w:top w:val="none" w:sz="0" w:space="0" w:color="auto"/>
        <w:left w:val="none" w:sz="0" w:space="0" w:color="auto"/>
        <w:bottom w:val="none" w:sz="0" w:space="0" w:color="auto"/>
        <w:right w:val="none" w:sz="0" w:space="0" w:color="auto"/>
      </w:divBdr>
    </w:div>
    <w:div w:id="1912809134">
      <w:bodyDiv w:val="1"/>
      <w:marLeft w:val="0"/>
      <w:marRight w:val="0"/>
      <w:marTop w:val="0"/>
      <w:marBottom w:val="0"/>
      <w:divBdr>
        <w:top w:val="none" w:sz="0" w:space="0" w:color="auto"/>
        <w:left w:val="none" w:sz="0" w:space="0" w:color="auto"/>
        <w:bottom w:val="none" w:sz="0" w:space="0" w:color="auto"/>
        <w:right w:val="none" w:sz="0" w:space="0" w:color="auto"/>
      </w:divBdr>
      <w:divsChild>
        <w:div w:id="645747546">
          <w:marLeft w:val="0"/>
          <w:marRight w:val="0"/>
          <w:marTop w:val="0"/>
          <w:marBottom w:val="0"/>
          <w:divBdr>
            <w:top w:val="none" w:sz="0" w:space="0" w:color="auto"/>
            <w:left w:val="none" w:sz="0" w:space="0" w:color="auto"/>
            <w:bottom w:val="none" w:sz="0" w:space="0" w:color="auto"/>
            <w:right w:val="none" w:sz="0" w:space="0" w:color="auto"/>
          </w:divBdr>
        </w:div>
        <w:div w:id="2062167563">
          <w:marLeft w:val="0"/>
          <w:marRight w:val="0"/>
          <w:marTop w:val="0"/>
          <w:marBottom w:val="0"/>
          <w:divBdr>
            <w:top w:val="none" w:sz="0" w:space="0" w:color="auto"/>
            <w:left w:val="none" w:sz="0" w:space="0" w:color="auto"/>
            <w:bottom w:val="none" w:sz="0" w:space="0" w:color="auto"/>
            <w:right w:val="none" w:sz="0" w:space="0" w:color="auto"/>
          </w:divBdr>
          <w:divsChild>
            <w:div w:id="992955404">
              <w:marLeft w:val="0"/>
              <w:marRight w:val="0"/>
              <w:marTop w:val="0"/>
              <w:marBottom w:val="0"/>
              <w:divBdr>
                <w:top w:val="none" w:sz="0" w:space="0" w:color="auto"/>
                <w:left w:val="none" w:sz="0" w:space="0" w:color="auto"/>
                <w:bottom w:val="none" w:sz="0" w:space="0" w:color="auto"/>
                <w:right w:val="none" w:sz="0" w:space="0" w:color="auto"/>
              </w:divBdr>
              <w:divsChild>
                <w:div w:id="1032000391">
                  <w:marLeft w:val="0"/>
                  <w:marRight w:val="600"/>
                  <w:marTop w:val="0"/>
                  <w:marBottom w:val="750"/>
                  <w:divBdr>
                    <w:top w:val="none" w:sz="0" w:space="0" w:color="auto"/>
                    <w:left w:val="none" w:sz="0" w:space="0" w:color="auto"/>
                    <w:bottom w:val="none" w:sz="0" w:space="0" w:color="auto"/>
                    <w:right w:val="none" w:sz="0" w:space="0" w:color="auto"/>
                  </w:divBdr>
                  <w:divsChild>
                    <w:div w:id="119133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ieeexplore.ieee.org/document/958615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324</Words>
  <Characters>1851</Characters>
  <Application>Microsoft Office Word</Application>
  <DocSecurity>0</DocSecurity>
  <Lines>15</Lines>
  <Paragraphs>4</Paragraphs>
  <ScaleCrop>false</ScaleCrop>
  <Company>Toshiba</Company>
  <LinksUpToDate>false</LinksUpToDate>
  <CharactersWithSpaces>2171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joanna.chen@GUCNB712</dc:creator>
  <cp:lastModifiedBy>richard.cc.lee@GUCNB914</cp:lastModifiedBy>
  <cp:revision>6</cp:revision>
  <cp:lastPrinted>2021-04-16T09:58:00Z</cp:lastPrinted>
  <dcterms:created xsi:type="dcterms:W3CDTF">2024-12-26T02:38:00Z</dcterms:created>
  <dcterms:modified xsi:type="dcterms:W3CDTF">2025-01-17T01:21:00Z</dcterms:modified>
</cp:coreProperties>
</file>