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7B" w:rsidRPr="00D34773" w:rsidRDefault="00D34773">
      <w:pPr>
        <w:rPr>
          <w:rFonts w:ascii="微軟正黑體" w:eastAsia="微軟正黑體" w:hAnsi="微軟正黑體"/>
        </w:rPr>
      </w:pPr>
      <w:r w:rsidRPr="00D34773">
        <w:rPr>
          <w:rFonts w:ascii="微軟正黑體" w:eastAsia="微軟正黑體" w:hAnsi="微軟正黑體" w:hint="eastAsia"/>
        </w:rPr>
        <w:t>版型說明：</w:t>
      </w:r>
    </w:p>
    <w:p w:rsidR="00D34773" w:rsidRDefault="00D34773">
      <w:pPr>
        <w:rPr>
          <w:rFonts w:ascii="微軟正黑體" w:eastAsia="微軟正黑體" w:hAnsi="微軟正黑體"/>
        </w:rPr>
      </w:pPr>
      <w:r>
        <w:rPr>
          <w:rFonts w:ascii="微軟正黑體" w:eastAsia="微軟正黑體" w:hAnsi="微軟正黑體" w:hint="eastAsia"/>
        </w:rPr>
        <w:t>外層</w:t>
      </w:r>
      <w:r w:rsidR="00B74B6A">
        <w:rPr>
          <w:rFonts w:ascii="微軟正黑體" w:eastAsia="微軟正黑體" w:hAnsi="微軟正黑體" w:hint="eastAsia"/>
        </w:rPr>
        <w:t>(白)</w:t>
      </w:r>
      <w:r>
        <w:rPr>
          <w:rFonts w:ascii="微軟正黑體" w:eastAsia="微軟正黑體" w:hAnsi="微軟正黑體" w:hint="eastAsia"/>
        </w:rPr>
        <w:t>：簡易文案，標題</w:t>
      </w:r>
      <w:r w:rsidR="00B74B6A">
        <w:rPr>
          <w:rFonts w:ascii="微軟正黑體" w:eastAsia="微軟正黑體" w:hAnsi="微軟正黑體" w:hint="eastAsia"/>
        </w:rPr>
        <w:t>及短敘述</w:t>
      </w:r>
      <w:r>
        <w:rPr>
          <w:rFonts w:ascii="微軟正黑體" w:eastAsia="微軟正黑體" w:hAnsi="微軟正黑體" w:hint="eastAsia"/>
        </w:rPr>
        <w:t>，使用者可點選「了解更多」進入內層</w:t>
      </w:r>
    </w:p>
    <w:p w:rsidR="00D34773" w:rsidRDefault="00D34773">
      <w:pPr>
        <w:rPr>
          <w:rFonts w:ascii="微軟正黑體" w:eastAsia="微軟正黑體" w:hAnsi="微軟正黑體"/>
        </w:rPr>
      </w:pPr>
      <w:r>
        <w:rPr>
          <w:rFonts w:ascii="微軟正黑體" w:eastAsia="微軟正黑體" w:hAnsi="微軟正黑體" w:hint="eastAsia"/>
        </w:rPr>
        <w:t>內層</w:t>
      </w:r>
      <w:r w:rsidR="00B74B6A">
        <w:rPr>
          <w:rFonts w:ascii="微軟正黑體" w:eastAsia="微軟正黑體" w:hAnsi="微軟正黑體"/>
        </w:rPr>
        <w:t>(</w:t>
      </w:r>
      <w:r w:rsidR="00B74B6A">
        <w:rPr>
          <w:rFonts w:ascii="微軟正黑體" w:eastAsia="微軟正黑體" w:hAnsi="微軟正黑體" w:hint="eastAsia"/>
        </w:rPr>
        <w:t>藍)</w:t>
      </w:r>
      <w:r>
        <w:rPr>
          <w:rFonts w:ascii="微軟正黑體" w:eastAsia="微軟正黑體" w:hAnsi="微軟正黑體" w:hint="eastAsia"/>
        </w:rPr>
        <w:t>：</w:t>
      </w:r>
      <w:r w:rsidR="00B74B6A">
        <w:rPr>
          <w:rFonts w:ascii="微軟正黑體" w:eastAsia="微軟正黑體" w:hAnsi="微軟正黑體" w:hint="eastAsia"/>
        </w:rPr>
        <w:t>頁面內視窗顯示</w:t>
      </w:r>
      <w:r>
        <w:rPr>
          <w:rFonts w:ascii="微軟正黑體" w:eastAsia="微軟正黑體" w:hAnsi="微軟正黑體" w:hint="eastAsia"/>
        </w:rPr>
        <w:t>詳細的圖文內容</w:t>
      </w:r>
      <w:r w:rsidR="00B74B6A">
        <w:rPr>
          <w:rFonts w:ascii="微軟正黑體" w:eastAsia="微軟正黑體" w:hAnsi="微軟正黑體" w:hint="eastAsia"/>
        </w:rPr>
        <w:t>，可點選「x」回外層</w:t>
      </w:r>
    </w:p>
    <w:p w:rsidR="00B74B6A" w:rsidRDefault="00D34773">
      <w:pPr>
        <w:rPr>
          <w:rFonts w:ascii="微軟正黑體" w:eastAsia="微軟正黑體" w:hAnsi="微軟正黑體"/>
        </w:rPr>
      </w:pPr>
      <w:r w:rsidRPr="00D34773">
        <w:rPr>
          <w:rFonts w:ascii="微軟正黑體" w:eastAsia="微軟正黑體" w:hAnsi="微軟正黑體"/>
          <w:noProof/>
        </w:rPr>
        <w:drawing>
          <wp:inline distT="0" distB="0" distL="0" distR="0" wp14:anchorId="119E6179" wp14:editId="2D7B2041">
            <wp:extent cx="3848100" cy="24955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48100" cy="2495550"/>
                    </a:xfrm>
                    <a:prstGeom prst="rect">
                      <a:avLst/>
                    </a:prstGeom>
                  </pic:spPr>
                </pic:pic>
              </a:graphicData>
            </a:graphic>
          </wp:inline>
        </w:drawing>
      </w:r>
    </w:p>
    <w:p w:rsidR="00B74B6A" w:rsidRDefault="00B74B6A">
      <w:pPr>
        <w:widowControl/>
        <w:rPr>
          <w:rFonts w:ascii="微軟正黑體" w:eastAsia="微軟正黑體" w:hAnsi="微軟正黑體"/>
        </w:rPr>
      </w:pPr>
      <w:r>
        <w:rPr>
          <w:rFonts w:ascii="微軟正黑體" w:eastAsia="微軟正黑體" w:hAnsi="微軟正黑體"/>
        </w:rPr>
        <w:br w:type="page"/>
      </w:r>
    </w:p>
    <w:p w:rsidR="00D34773" w:rsidRDefault="00B74B6A" w:rsidP="00B74B6A">
      <w:pPr>
        <w:pStyle w:val="a7"/>
        <w:numPr>
          <w:ilvl w:val="0"/>
          <w:numId w:val="1"/>
        </w:numPr>
        <w:ind w:leftChars="0"/>
        <w:rPr>
          <w:rFonts w:ascii="微軟正黑體" w:eastAsia="微軟正黑體" w:hAnsi="微軟正黑體"/>
        </w:rPr>
      </w:pPr>
      <w:r w:rsidRPr="00B74B6A">
        <w:rPr>
          <w:rFonts w:ascii="微軟正黑體" w:eastAsia="微軟正黑體" w:hAnsi="微軟正黑體" w:hint="eastAsia"/>
        </w:rPr>
        <w:lastRenderedPageBreak/>
        <w:t>外層</w:t>
      </w:r>
      <w:bookmarkStart w:id="0" w:name="_GoBack"/>
      <w:bookmarkEnd w:id="0"/>
    </w:p>
    <w:p w:rsidR="00B74B6A" w:rsidRDefault="00706D7E" w:rsidP="00B74B6A">
      <w:pPr>
        <w:pStyle w:val="a7"/>
        <w:ind w:leftChars="0" w:left="720"/>
        <w:rPr>
          <w:rFonts w:ascii="微軟正黑體" w:eastAsia="微軟正黑體" w:hAnsi="微軟正黑體"/>
        </w:rPr>
      </w:pPr>
      <w:r>
        <w:rPr>
          <w:rFonts w:ascii="微軟正黑體" w:eastAsia="微軟正黑體" w:hAnsi="微軟正黑體" w:hint="eastAsia"/>
        </w:rPr>
        <w:t>標題：</w:t>
      </w:r>
      <w:r w:rsidR="00B74B6A">
        <w:rPr>
          <w:rFonts w:ascii="微軟正黑體" w:eastAsia="微軟正黑體" w:hAnsi="微軟正黑體" w:hint="eastAsia"/>
        </w:rPr>
        <w:t>實現理想的</w:t>
      </w:r>
      <w:r w:rsidR="00E441D1">
        <w:rPr>
          <w:rFonts w:ascii="微軟正黑體" w:eastAsia="微軟正黑體" w:hAnsi="微軟正黑體" w:hint="eastAsia"/>
        </w:rPr>
        <w:t>職涯</w:t>
      </w:r>
      <w:r>
        <w:rPr>
          <w:rFonts w:ascii="微軟正黑體" w:eastAsia="微軟正黑體" w:hAnsi="微軟正黑體" w:hint="eastAsia"/>
        </w:rPr>
        <w:t>，創造無限可能</w:t>
      </w:r>
    </w:p>
    <w:p w:rsidR="00B74B6A" w:rsidRPr="00B74B6A" w:rsidRDefault="00B74B6A" w:rsidP="00B74B6A">
      <w:pPr>
        <w:pStyle w:val="a7"/>
        <w:ind w:leftChars="0" w:left="720"/>
        <w:rPr>
          <w:rFonts w:ascii="微軟正黑體" w:eastAsia="微軟正黑體" w:hAnsi="微軟正黑體"/>
        </w:rPr>
      </w:pPr>
      <w:r>
        <w:rPr>
          <w:rFonts w:ascii="微軟正黑體" w:eastAsia="微軟正黑體" w:hAnsi="微軟正黑體" w:hint="eastAsia"/>
        </w:rPr>
        <w:t>短敘述：透過教育訓練、</w:t>
      </w:r>
      <w:r w:rsidRPr="00B74B6A">
        <w:rPr>
          <w:rFonts w:ascii="微軟正黑體" w:eastAsia="微軟正黑體" w:hAnsi="微軟正黑體" w:hint="eastAsia"/>
        </w:rPr>
        <w:t>緊密連結公司的永續發展策略</w:t>
      </w:r>
      <w:r>
        <w:rPr>
          <w:rFonts w:ascii="微軟正黑體" w:eastAsia="微軟正黑體" w:hAnsi="微軟正黑體" w:hint="eastAsia"/>
        </w:rPr>
        <w:t>以</w:t>
      </w:r>
      <w:r w:rsidRPr="00B74B6A">
        <w:rPr>
          <w:rFonts w:ascii="微軟正黑體" w:eastAsia="微軟正黑體" w:hAnsi="微軟正黑體" w:hint="eastAsia"/>
        </w:rPr>
        <w:t>及員工能力提升計畫，積極培養優質人才</w:t>
      </w:r>
      <w:r>
        <w:rPr>
          <w:rFonts w:ascii="微軟正黑體" w:eastAsia="微軟正黑體" w:hAnsi="微軟正黑體" w:hint="eastAsia"/>
        </w:rPr>
        <w:t>並幫助員工的職涯發展。</w:t>
      </w:r>
      <w:r>
        <w:rPr>
          <w:noProof/>
        </w:rPr>
        <w:drawing>
          <wp:inline distT="114300" distB="114300" distL="114300" distR="114300" wp14:anchorId="59C357C9" wp14:editId="360B97FB">
            <wp:extent cx="3332289" cy="2809037"/>
            <wp:effectExtent l="0" t="0" r="1905" b="0"/>
            <wp:docPr id="3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3338220" cy="2814037"/>
                    </a:xfrm>
                    <a:prstGeom prst="rect">
                      <a:avLst/>
                    </a:prstGeom>
                    <a:ln/>
                  </pic:spPr>
                </pic:pic>
              </a:graphicData>
            </a:graphic>
          </wp:inline>
        </w:drawing>
      </w:r>
    </w:p>
    <w:p w:rsidR="00B74B6A" w:rsidRDefault="00B74B6A" w:rsidP="00B74B6A">
      <w:pPr>
        <w:pStyle w:val="a7"/>
        <w:numPr>
          <w:ilvl w:val="0"/>
          <w:numId w:val="1"/>
        </w:numPr>
        <w:ind w:leftChars="0"/>
        <w:rPr>
          <w:rFonts w:ascii="微軟正黑體" w:eastAsia="微軟正黑體" w:hAnsi="微軟正黑體"/>
        </w:rPr>
      </w:pPr>
      <w:r>
        <w:rPr>
          <w:rFonts w:ascii="微軟正黑體" w:eastAsia="微軟正黑體" w:hAnsi="微軟正黑體" w:hint="eastAsia"/>
        </w:rPr>
        <w:t>內層</w:t>
      </w:r>
    </w:p>
    <w:p w:rsidR="00C90E96" w:rsidRPr="00C90E96" w:rsidRDefault="00C90E96" w:rsidP="00B74B6A">
      <w:pPr>
        <w:pStyle w:val="a7"/>
        <w:ind w:leftChars="0" w:left="720"/>
        <w:rPr>
          <w:rFonts w:ascii="微軟正黑體" w:eastAsia="微軟正黑體" w:hAnsi="微軟正黑體"/>
          <w:b/>
          <w:sz w:val="28"/>
          <w:u w:val="single"/>
        </w:rPr>
      </w:pPr>
      <w:r w:rsidRPr="00C90E96">
        <w:rPr>
          <w:rFonts w:ascii="微軟正黑體" w:eastAsia="微軟正黑體" w:hAnsi="微軟正黑體" w:hint="eastAsia"/>
          <w:b/>
          <w:sz w:val="28"/>
          <w:u w:val="single"/>
        </w:rPr>
        <w:t>全面的訓練發展計畫</w:t>
      </w:r>
    </w:p>
    <w:p w:rsidR="00B74B6A" w:rsidRDefault="00B74B6A" w:rsidP="00B74B6A">
      <w:pPr>
        <w:pStyle w:val="a7"/>
        <w:ind w:leftChars="0" w:left="720"/>
        <w:rPr>
          <w:rFonts w:ascii="微軟正黑體" w:eastAsia="微軟正黑體" w:hAnsi="微軟正黑體"/>
        </w:rPr>
      </w:pPr>
      <w:r w:rsidRPr="00B74B6A">
        <w:rPr>
          <w:rFonts w:ascii="微軟正黑體" w:eastAsia="微軟正黑體" w:hAnsi="微軟正黑體" w:hint="eastAsia"/>
        </w:rPr>
        <w:t>創意電子面對不同階段的員工，</w:t>
      </w:r>
      <w:r>
        <w:rPr>
          <w:rFonts w:ascii="微軟正黑體" w:eastAsia="微軟正黑體" w:hAnsi="微軟正黑體" w:hint="eastAsia"/>
        </w:rPr>
        <w:t>包含</w:t>
      </w:r>
      <w:r w:rsidRPr="00B74B6A">
        <w:rPr>
          <w:rFonts w:ascii="微軟正黑體" w:eastAsia="微軟正黑體" w:hAnsi="微軟正黑體" w:hint="eastAsia"/>
        </w:rPr>
        <w:t>新進同仁、主管及非主管同仁，</w:t>
      </w:r>
      <w:r>
        <w:rPr>
          <w:rFonts w:ascii="微軟正黑體" w:eastAsia="微軟正黑體" w:hAnsi="微軟正黑體" w:hint="eastAsia"/>
        </w:rPr>
        <w:t>皆根據訓練藍圖開辦各類課程，進行全面且完善的訓練發展計畫。從新進員工開始，我們有「指導者計畫」協助新人快速融入環境，達到建立關係、經驗傳承、教學相長等</w:t>
      </w:r>
      <w:r w:rsidRPr="00B74B6A">
        <w:rPr>
          <w:rFonts w:ascii="微軟正黑體" w:eastAsia="微軟正黑體" w:hAnsi="微軟正黑體" w:hint="eastAsia"/>
        </w:rPr>
        <w:t>目標，對於重要人才與主管階層，</w:t>
      </w:r>
      <w:r>
        <w:rPr>
          <w:rFonts w:ascii="微軟正黑體" w:eastAsia="微軟正黑體" w:hAnsi="微軟正黑體" w:hint="eastAsia"/>
        </w:rPr>
        <w:t>開辦</w:t>
      </w:r>
      <w:r w:rsidRPr="00B74B6A">
        <w:rPr>
          <w:rFonts w:ascii="微軟正黑體" w:eastAsia="微軟正黑體" w:hAnsi="微軟正黑體" w:hint="eastAsia"/>
        </w:rPr>
        <w:t>「關鍵人才與主管培育計畫」；透過全方位的訓練和發展，持續增強和培養不同階段員工的能力。訓練與</w:t>
      </w:r>
      <w:r>
        <w:rPr>
          <w:rFonts w:ascii="微軟正黑體" w:eastAsia="微軟正黑體" w:hAnsi="微軟正黑體" w:hint="eastAsia"/>
        </w:rPr>
        <w:t>發展不僅是對未來的承諾，也是對公司治理、永續發展的承諾，營造</w:t>
      </w:r>
      <w:r w:rsidRPr="00B74B6A">
        <w:rPr>
          <w:rFonts w:ascii="微軟正黑體" w:eastAsia="微軟正黑體" w:hAnsi="微軟正黑體" w:hint="eastAsia"/>
        </w:rPr>
        <w:t>同仁相互學習、相互分享的正向學習環境。</w:t>
      </w:r>
    </w:p>
    <w:tbl>
      <w:tblPr>
        <w:tblStyle w:val="a8"/>
        <w:tblW w:w="0" w:type="auto"/>
        <w:tblInd w:w="720" w:type="dxa"/>
        <w:tblLook w:val="04A0" w:firstRow="1" w:lastRow="0" w:firstColumn="1" w:lastColumn="0" w:noHBand="0" w:noVBand="1"/>
      </w:tblPr>
      <w:tblGrid>
        <w:gridCol w:w="976"/>
        <w:gridCol w:w="1418"/>
        <w:gridCol w:w="5182"/>
      </w:tblGrid>
      <w:tr w:rsidR="00B74B6A" w:rsidRPr="00B74B6A" w:rsidTr="00B74B6A">
        <w:tc>
          <w:tcPr>
            <w:tcW w:w="976" w:type="dxa"/>
          </w:tcPr>
          <w:p w:rsidR="00B74B6A" w:rsidRPr="00B74B6A" w:rsidRDefault="00B74B6A" w:rsidP="00B74B6A">
            <w:pPr>
              <w:pStyle w:val="a7"/>
              <w:ind w:leftChars="0" w:left="0"/>
              <w:jc w:val="center"/>
              <w:rPr>
                <w:rFonts w:ascii="微軟正黑體" w:eastAsia="微軟正黑體" w:hAnsi="微軟正黑體"/>
                <w:sz w:val="16"/>
              </w:rPr>
            </w:pPr>
            <w:r w:rsidRPr="00B74B6A">
              <w:rPr>
                <w:rFonts w:ascii="微軟正黑體" w:eastAsia="微軟正黑體" w:hAnsi="微軟正黑體" w:hint="eastAsia"/>
                <w:sz w:val="16"/>
              </w:rPr>
              <w:lastRenderedPageBreak/>
              <w:t>對象</w:t>
            </w:r>
          </w:p>
        </w:tc>
        <w:tc>
          <w:tcPr>
            <w:tcW w:w="1418" w:type="dxa"/>
          </w:tcPr>
          <w:p w:rsidR="00B74B6A" w:rsidRPr="00B74B6A" w:rsidRDefault="00B74B6A" w:rsidP="00B74B6A">
            <w:pPr>
              <w:pStyle w:val="a7"/>
              <w:ind w:leftChars="0" w:left="0"/>
              <w:jc w:val="center"/>
              <w:rPr>
                <w:rFonts w:ascii="微軟正黑體" w:eastAsia="微軟正黑體" w:hAnsi="微軟正黑體"/>
                <w:sz w:val="16"/>
              </w:rPr>
            </w:pPr>
            <w:r w:rsidRPr="00B74B6A">
              <w:rPr>
                <w:rFonts w:ascii="微軟正黑體" w:eastAsia="微軟正黑體" w:hAnsi="微軟正黑體" w:hint="eastAsia"/>
                <w:sz w:val="16"/>
              </w:rPr>
              <w:t>項目</w:t>
            </w:r>
          </w:p>
        </w:tc>
        <w:tc>
          <w:tcPr>
            <w:tcW w:w="5182" w:type="dxa"/>
          </w:tcPr>
          <w:p w:rsidR="00B74B6A" w:rsidRPr="00B74B6A" w:rsidRDefault="00B74B6A" w:rsidP="00B74B6A">
            <w:pPr>
              <w:pStyle w:val="a7"/>
              <w:ind w:leftChars="0" w:left="0"/>
              <w:jc w:val="center"/>
              <w:rPr>
                <w:rFonts w:ascii="微軟正黑體" w:eastAsia="微軟正黑體" w:hAnsi="微軟正黑體"/>
                <w:sz w:val="16"/>
              </w:rPr>
            </w:pPr>
            <w:r w:rsidRPr="00B74B6A">
              <w:rPr>
                <w:rFonts w:ascii="微軟正黑體" w:eastAsia="微軟正黑體" w:hAnsi="微軟正黑體" w:hint="eastAsia"/>
                <w:sz w:val="16"/>
              </w:rPr>
              <w:t>內容</w:t>
            </w:r>
          </w:p>
        </w:tc>
      </w:tr>
      <w:tr w:rsidR="00B74B6A" w:rsidRPr="00B74B6A" w:rsidTr="00213CE7">
        <w:tc>
          <w:tcPr>
            <w:tcW w:w="976" w:type="dxa"/>
            <w:vMerge w:val="restart"/>
          </w:tcPr>
          <w:p w:rsidR="00B74B6A" w:rsidRPr="00B74B6A" w:rsidRDefault="00B74B6A" w:rsidP="00B74B6A">
            <w:pPr>
              <w:pStyle w:val="a7"/>
              <w:ind w:leftChars="0" w:left="0"/>
              <w:rPr>
                <w:rFonts w:ascii="微軟正黑體" w:eastAsia="微軟正黑體" w:hAnsi="微軟正黑體"/>
                <w:sz w:val="16"/>
              </w:rPr>
            </w:pPr>
            <w:r w:rsidRPr="00B74B6A">
              <w:rPr>
                <w:rFonts w:ascii="微軟正黑體" w:eastAsia="微軟正黑體" w:hAnsi="微軟正黑體" w:hint="eastAsia"/>
                <w:sz w:val="16"/>
              </w:rPr>
              <w:t>新進員工</w:t>
            </w:r>
          </w:p>
        </w:tc>
        <w:tc>
          <w:tcPr>
            <w:tcW w:w="1418" w:type="dxa"/>
            <w:vAlign w:val="center"/>
          </w:tcPr>
          <w:p w:rsidR="00B74B6A" w:rsidRPr="00B74B6A" w:rsidRDefault="00B74B6A" w:rsidP="00B74B6A">
            <w:pPr>
              <w:rPr>
                <w:rFonts w:ascii="微軟正黑體" w:eastAsia="微軟正黑體" w:hAnsi="微軟正黑體" w:cs="微軟正黑體"/>
                <w:color w:val="000000"/>
                <w:sz w:val="16"/>
                <w:szCs w:val="18"/>
              </w:rPr>
            </w:pPr>
            <w:r w:rsidRPr="00B74B6A">
              <w:rPr>
                <w:rFonts w:ascii="微軟正黑體" w:eastAsia="微軟正黑體" w:hAnsi="微軟正黑體" w:cs="微軟正黑體"/>
                <w:color w:val="000000"/>
                <w:sz w:val="16"/>
                <w:szCs w:val="18"/>
              </w:rPr>
              <w:t>新人訓及新人必修課程</w:t>
            </w:r>
          </w:p>
        </w:tc>
        <w:tc>
          <w:tcPr>
            <w:tcW w:w="5182" w:type="dxa"/>
          </w:tcPr>
          <w:p w:rsidR="00B74B6A" w:rsidRPr="00B74B6A" w:rsidRDefault="00B74B6A" w:rsidP="00B74B6A">
            <w:pPr>
              <w:pStyle w:val="a7"/>
              <w:ind w:leftChars="0" w:left="0"/>
              <w:rPr>
                <w:rFonts w:ascii="微軟正黑體" w:eastAsia="微軟正黑體" w:hAnsi="微軟正黑體"/>
                <w:sz w:val="16"/>
              </w:rPr>
            </w:pPr>
            <w:r>
              <w:rPr>
                <w:rFonts w:ascii="微軟正黑體" w:eastAsia="微軟正黑體" w:hAnsi="微軟正黑體" w:hint="eastAsia"/>
                <w:sz w:val="16"/>
              </w:rPr>
              <w:t>到職當日以新進員工導引課程，讓新進員工</w:t>
            </w:r>
            <w:r w:rsidRPr="00B74B6A">
              <w:rPr>
                <w:rFonts w:ascii="微軟正黑體" w:eastAsia="微軟正黑體" w:hAnsi="微軟正黑體" w:hint="eastAsia"/>
                <w:sz w:val="16"/>
              </w:rPr>
              <w:t>迅速融入公司、了解公司的核心價值與未來發展</w:t>
            </w:r>
            <w:r>
              <w:rPr>
                <w:rFonts w:ascii="微軟正黑體" w:eastAsia="微軟正黑體" w:hAnsi="微軟正黑體" w:hint="eastAsia"/>
                <w:sz w:val="16"/>
              </w:rPr>
              <w:t>。</w:t>
            </w:r>
            <w:r w:rsidRPr="00B74B6A">
              <w:rPr>
                <w:rFonts w:ascii="微軟正黑體" w:eastAsia="微軟正黑體" w:hAnsi="微軟正黑體" w:hint="eastAsia"/>
                <w:sz w:val="16"/>
              </w:rPr>
              <w:t>此外，</w:t>
            </w:r>
            <w:r>
              <w:rPr>
                <w:rFonts w:ascii="微軟正黑體" w:eastAsia="微軟正黑體" w:hAnsi="微軟正黑體" w:hint="eastAsia"/>
                <w:sz w:val="16"/>
              </w:rPr>
              <w:t>也</w:t>
            </w:r>
            <w:r w:rsidRPr="00B74B6A">
              <w:rPr>
                <w:rFonts w:ascii="微軟正黑體" w:eastAsia="微軟正黑體" w:hAnsi="微軟正黑體" w:hint="eastAsia"/>
                <w:sz w:val="16"/>
              </w:rPr>
              <w:t>根據訓練藍圖，</w:t>
            </w:r>
            <w:r>
              <w:rPr>
                <w:rFonts w:ascii="微軟正黑體" w:eastAsia="微軟正黑體" w:hAnsi="微軟正黑體" w:hint="eastAsia"/>
                <w:sz w:val="16"/>
              </w:rPr>
              <w:t>設計專屬於</w:t>
            </w:r>
            <w:r w:rsidRPr="00B74B6A">
              <w:rPr>
                <w:rFonts w:ascii="微軟正黑體" w:eastAsia="微軟正黑體" w:hAnsi="微軟正黑體" w:hint="eastAsia"/>
                <w:sz w:val="16"/>
              </w:rPr>
              <w:t>不同單位新</w:t>
            </w:r>
            <w:r>
              <w:rPr>
                <w:rFonts w:ascii="微軟正黑體" w:eastAsia="微軟正黑體" w:hAnsi="微軟正黑體" w:hint="eastAsia"/>
                <w:sz w:val="16"/>
              </w:rPr>
              <w:t>進員工的共通能力及必修課程。</w:t>
            </w:r>
          </w:p>
        </w:tc>
      </w:tr>
      <w:tr w:rsidR="00B74B6A" w:rsidRPr="00B74B6A" w:rsidTr="00213CE7">
        <w:tc>
          <w:tcPr>
            <w:tcW w:w="976" w:type="dxa"/>
            <w:vMerge/>
          </w:tcPr>
          <w:p w:rsidR="00B74B6A" w:rsidRPr="00B74B6A" w:rsidRDefault="00B74B6A" w:rsidP="00B74B6A">
            <w:pPr>
              <w:pStyle w:val="a7"/>
              <w:ind w:leftChars="0" w:left="0"/>
              <w:rPr>
                <w:rFonts w:ascii="微軟正黑體" w:eastAsia="微軟正黑體" w:hAnsi="微軟正黑體"/>
                <w:sz w:val="16"/>
              </w:rPr>
            </w:pPr>
          </w:p>
        </w:tc>
        <w:tc>
          <w:tcPr>
            <w:tcW w:w="1418" w:type="dxa"/>
            <w:vAlign w:val="center"/>
          </w:tcPr>
          <w:p w:rsidR="00B74B6A" w:rsidRPr="00B74B6A" w:rsidRDefault="00B74B6A" w:rsidP="00B74B6A">
            <w:pPr>
              <w:rPr>
                <w:rFonts w:ascii="微軟正黑體" w:eastAsia="微軟正黑體" w:hAnsi="微軟正黑體" w:cs="微軟正黑體"/>
                <w:color w:val="000000"/>
                <w:sz w:val="16"/>
                <w:szCs w:val="18"/>
              </w:rPr>
            </w:pPr>
            <w:r w:rsidRPr="00B74B6A">
              <w:rPr>
                <w:rFonts w:ascii="微軟正黑體" w:eastAsia="微軟正黑體" w:hAnsi="微軟正黑體" w:cs="微軟正黑體"/>
                <w:color w:val="000000"/>
                <w:sz w:val="16"/>
                <w:szCs w:val="18"/>
              </w:rPr>
              <w:t>ESG 相關課程</w:t>
            </w:r>
          </w:p>
        </w:tc>
        <w:tc>
          <w:tcPr>
            <w:tcW w:w="5182" w:type="dxa"/>
          </w:tcPr>
          <w:p w:rsidR="00B74B6A" w:rsidRPr="00B74B6A" w:rsidRDefault="00B74B6A" w:rsidP="00B74B6A">
            <w:pPr>
              <w:pStyle w:val="a7"/>
              <w:ind w:leftChars="0" w:left="0"/>
              <w:rPr>
                <w:rFonts w:ascii="微軟正黑體" w:eastAsia="微軟正黑體" w:hAnsi="微軟正黑體"/>
                <w:sz w:val="16"/>
              </w:rPr>
            </w:pPr>
            <w:r>
              <w:rPr>
                <w:rFonts w:ascii="微軟正黑體" w:eastAsia="微軟正黑體" w:hAnsi="微軟正黑體" w:hint="eastAsia"/>
                <w:sz w:val="16"/>
              </w:rPr>
              <w:t>到職當日安排新進員工進行從設施介紹至公司永續政策制度的</w:t>
            </w:r>
            <w:r w:rsidRPr="00B74B6A">
              <w:rPr>
                <w:rFonts w:ascii="微軟正黑體" w:eastAsia="微軟正黑體" w:hAnsi="微軟正黑體" w:hint="eastAsia"/>
                <w:sz w:val="16"/>
              </w:rPr>
              <w:t>課程，包括：</w:t>
            </w:r>
            <w:r>
              <w:rPr>
                <w:rFonts w:ascii="微軟正黑體" w:eastAsia="微軟正黑體" w:hAnsi="微軟正黑體" w:hint="eastAsia"/>
                <w:sz w:val="16"/>
              </w:rPr>
              <w:t>職業</w:t>
            </w:r>
            <w:r w:rsidRPr="00B74B6A">
              <w:rPr>
                <w:rFonts w:ascii="微軟正黑體" w:eastAsia="微軟正黑體" w:hAnsi="微軟正黑體" w:hint="eastAsia"/>
                <w:sz w:val="16"/>
              </w:rPr>
              <w:t>安全衛生、預防職場不法侵害、從業道德規範等重要議題。</w:t>
            </w:r>
          </w:p>
        </w:tc>
      </w:tr>
      <w:tr w:rsidR="00B74B6A" w:rsidRPr="00B74B6A" w:rsidTr="00536966">
        <w:tc>
          <w:tcPr>
            <w:tcW w:w="976" w:type="dxa"/>
            <w:vMerge w:val="restart"/>
          </w:tcPr>
          <w:p w:rsidR="00B74B6A" w:rsidRPr="00B74B6A" w:rsidRDefault="00B74B6A" w:rsidP="00B74B6A">
            <w:pPr>
              <w:pStyle w:val="a7"/>
              <w:ind w:leftChars="0" w:left="0"/>
              <w:rPr>
                <w:rFonts w:ascii="微軟正黑體" w:eastAsia="微軟正黑體" w:hAnsi="微軟正黑體"/>
                <w:sz w:val="16"/>
              </w:rPr>
            </w:pPr>
            <w:r w:rsidRPr="00B74B6A">
              <w:rPr>
                <w:rFonts w:ascii="微軟正黑體" w:eastAsia="微軟正黑體" w:hAnsi="微軟正黑體" w:hint="eastAsia"/>
                <w:sz w:val="16"/>
              </w:rPr>
              <w:t>全體同仁</w:t>
            </w:r>
          </w:p>
        </w:tc>
        <w:tc>
          <w:tcPr>
            <w:tcW w:w="1418" w:type="dxa"/>
            <w:vAlign w:val="center"/>
          </w:tcPr>
          <w:p w:rsidR="00B74B6A" w:rsidRPr="00B74B6A" w:rsidRDefault="00B74B6A" w:rsidP="00B74B6A">
            <w:pPr>
              <w:rPr>
                <w:rFonts w:ascii="微軟正黑體" w:eastAsia="微軟正黑體" w:hAnsi="微軟正黑體"/>
                <w:sz w:val="16"/>
                <w:szCs w:val="16"/>
              </w:rPr>
            </w:pPr>
            <w:r w:rsidRPr="00B74B6A">
              <w:rPr>
                <w:rFonts w:ascii="微軟正黑體" w:eastAsia="微軟正黑體" w:hAnsi="微軟正黑體"/>
                <w:sz w:val="16"/>
                <w:szCs w:val="16"/>
              </w:rPr>
              <w:t>專業訓練</w:t>
            </w:r>
          </w:p>
        </w:tc>
        <w:tc>
          <w:tcPr>
            <w:tcW w:w="5182" w:type="dxa"/>
          </w:tcPr>
          <w:p w:rsidR="00B74B6A" w:rsidRPr="00B74B6A" w:rsidRDefault="00630F35" w:rsidP="00B74B6A">
            <w:pPr>
              <w:pStyle w:val="a7"/>
              <w:ind w:leftChars="0" w:left="0"/>
              <w:rPr>
                <w:rFonts w:ascii="微軟正黑體" w:eastAsia="微軟正黑體" w:hAnsi="微軟正黑體"/>
                <w:sz w:val="16"/>
              </w:rPr>
            </w:pPr>
            <w:r w:rsidRPr="00630F35">
              <w:rPr>
                <w:rFonts w:ascii="微軟正黑體" w:eastAsia="微軟正黑體" w:hAnsi="微軟正黑體" w:hint="eastAsia"/>
                <w:sz w:val="16"/>
              </w:rPr>
              <w:t>根據不同單位、職務、年資等條件，我們提供工作所需之完整專業知識技能課程</w:t>
            </w:r>
            <w:r>
              <w:rPr>
                <w:rFonts w:ascii="微軟正黑體" w:eastAsia="微軟正黑體" w:hAnsi="微軟正黑體" w:hint="eastAsia"/>
                <w:sz w:val="16"/>
              </w:rPr>
              <w:t>。</w:t>
            </w:r>
          </w:p>
        </w:tc>
      </w:tr>
      <w:tr w:rsidR="00B74B6A" w:rsidRPr="00B74B6A" w:rsidTr="00536966">
        <w:tc>
          <w:tcPr>
            <w:tcW w:w="976" w:type="dxa"/>
            <w:vMerge/>
          </w:tcPr>
          <w:p w:rsidR="00B74B6A" w:rsidRPr="00B74B6A" w:rsidRDefault="00B74B6A" w:rsidP="00B74B6A">
            <w:pPr>
              <w:pStyle w:val="a7"/>
              <w:ind w:leftChars="0" w:left="0"/>
              <w:rPr>
                <w:rFonts w:ascii="微軟正黑體" w:eastAsia="微軟正黑體" w:hAnsi="微軟正黑體"/>
                <w:sz w:val="16"/>
              </w:rPr>
            </w:pPr>
          </w:p>
        </w:tc>
        <w:tc>
          <w:tcPr>
            <w:tcW w:w="1418" w:type="dxa"/>
            <w:vAlign w:val="center"/>
          </w:tcPr>
          <w:p w:rsidR="00B74B6A" w:rsidRPr="00B74B6A" w:rsidRDefault="00B74B6A" w:rsidP="00B74B6A">
            <w:pPr>
              <w:rPr>
                <w:rFonts w:ascii="微軟正黑體" w:eastAsia="微軟正黑體" w:hAnsi="微軟正黑體" w:cs="微軟正黑體"/>
                <w:sz w:val="16"/>
                <w:szCs w:val="16"/>
              </w:rPr>
            </w:pPr>
            <w:r w:rsidRPr="00B74B6A">
              <w:rPr>
                <w:rFonts w:ascii="微軟正黑體" w:eastAsia="微軟正黑體" w:hAnsi="微軟正黑體" w:cs="微軟正黑體"/>
                <w:sz w:val="16"/>
                <w:szCs w:val="16"/>
              </w:rPr>
              <w:t>年度必修課程</w:t>
            </w:r>
          </w:p>
        </w:tc>
        <w:tc>
          <w:tcPr>
            <w:tcW w:w="5182" w:type="dxa"/>
          </w:tcPr>
          <w:p w:rsidR="00B74B6A" w:rsidRPr="00B74B6A" w:rsidRDefault="00630F35" w:rsidP="00B74B6A">
            <w:pPr>
              <w:pStyle w:val="a7"/>
              <w:ind w:leftChars="0" w:left="0"/>
              <w:rPr>
                <w:rFonts w:ascii="微軟正黑體" w:eastAsia="微軟正黑體" w:hAnsi="微軟正黑體"/>
                <w:sz w:val="16"/>
              </w:rPr>
            </w:pPr>
            <w:r w:rsidRPr="00630F35">
              <w:rPr>
                <w:rFonts w:ascii="微軟正黑體" w:eastAsia="微軟正黑體" w:hAnsi="微軟正黑體" w:hint="eastAsia"/>
                <w:sz w:val="16"/>
              </w:rPr>
              <w:t>包含機密資訊保護、誠信經營暨從業道德規範、禁止內線交易、責任商業聯盟</w:t>
            </w:r>
            <w:r>
              <w:rPr>
                <w:rFonts w:ascii="微軟正黑體" w:eastAsia="微軟正黑體" w:hAnsi="微軟正黑體" w:hint="eastAsia"/>
                <w:sz w:val="16"/>
              </w:rPr>
              <w:t>行為守則、預防職場不法侵害（包含職場霸凌、歧視及性騷擾等議題）。</w:t>
            </w:r>
          </w:p>
        </w:tc>
      </w:tr>
      <w:tr w:rsidR="00B74B6A" w:rsidRPr="00B74B6A" w:rsidTr="00536966">
        <w:tc>
          <w:tcPr>
            <w:tcW w:w="976" w:type="dxa"/>
            <w:vMerge/>
          </w:tcPr>
          <w:p w:rsidR="00B74B6A" w:rsidRPr="00B74B6A" w:rsidRDefault="00B74B6A" w:rsidP="00B74B6A">
            <w:pPr>
              <w:pStyle w:val="a7"/>
              <w:ind w:leftChars="0" w:left="0"/>
              <w:rPr>
                <w:rFonts w:ascii="微軟正黑體" w:eastAsia="微軟正黑體" w:hAnsi="微軟正黑體"/>
                <w:sz w:val="16"/>
              </w:rPr>
            </w:pPr>
          </w:p>
        </w:tc>
        <w:tc>
          <w:tcPr>
            <w:tcW w:w="1418" w:type="dxa"/>
            <w:vAlign w:val="center"/>
          </w:tcPr>
          <w:p w:rsidR="00B74B6A" w:rsidRPr="00B74B6A" w:rsidRDefault="00B74B6A" w:rsidP="00B74B6A">
            <w:pPr>
              <w:rPr>
                <w:rFonts w:ascii="微軟正黑體" w:eastAsia="微軟正黑體" w:hAnsi="微軟正黑體" w:cs="微軟正黑體"/>
                <w:sz w:val="16"/>
                <w:szCs w:val="16"/>
              </w:rPr>
            </w:pPr>
            <w:r w:rsidRPr="00B74B6A">
              <w:rPr>
                <w:rFonts w:ascii="微軟正黑體" w:eastAsia="微軟正黑體" w:hAnsi="微軟正黑體" w:cs="微軟正黑體"/>
                <w:sz w:val="16"/>
                <w:szCs w:val="16"/>
              </w:rPr>
              <w:t>個人效能與通識課程</w:t>
            </w:r>
          </w:p>
        </w:tc>
        <w:tc>
          <w:tcPr>
            <w:tcW w:w="5182" w:type="dxa"/>
          </w:tcPr>
          <w:p w:rsidR="00B74B6A" w:rsidRPr="00B74B6A" w:rsidRDefault="00630F35" w:rsidP="00630F35">
            <w:pPr>
              <w:pStyle w:val="a7"/>
              <w:ind w:leftChars="0" w:left="0"/>
              <w:rPr>
                <w:rFonts w:ascii="微軟正黑體" w:eastAsia="微軟正黑體" w:hAnsi="微軟正黑體"/>
                <w:sz w:val="16"/>
              </w:rPr>
            </w:pPr>
            <w:r>
              <w:rPr>
                <w:rFonts w:ascii="微軟正黑體" w:eastAsia="微軟正黑體" w:hAnsi="微軟正黑體" w:hint="eastAsia"/>
                <w:sz w:val="16"/>
              </w:rPr>
              <w:t>因應未來的技術演變及發展，</w:t>
            </w:r>
            <w:r w:rsidRPr="00630F35">
              <w:rPr>
                <w:rFonts w:ascii="微軟正黑體" w:eastAsia="微軟正黑體" w:hAnsi="微軟正黑體" w:hint="eastAsia"/>
                <w:sz w:val="16"/>
              </w:rPr>
              <w:t>協助同仁工作效能提</w:t>
            </w:r>
            <w:r>
              <w:rPr>
                <w:rFonts w:ascii="微軟正黑體" w:eastAsia="微軟正黑體" w:hAnsi="微軟正黑體" w:hint="eastAsia"/>
                <w:sz w:val="16"/>
              </w:rPr>
              <w:t>升並增進自身各項能力，讓同仁即時獲取更多相關資訊、了解市場趨勢，此外</w:t>
            </w:r>
            <w:r w:rsidRPr="00630F35">
              <w:rPr>
                <w:rFonts w:ascii="微軟正黑體" w:eastAsia="微軟正黑體" w:hAnsi="微軟正黑體" w:hint="eastAsia"/>
                <w:sz w:val="16"/>
              </w:rPr>
              <w:t>也開立生活與健康等系列講座課程，希望公司的每位員工無論在工作內或工作外，都能學習到更多有助工作或生活上的課程與知識。</w:t>
            </w:r>
          </w:p>
        </w:tc>
      </w:tr>
      <w:tr w:rsidR="00B74B6A" w:rsidRPr="00B74B6A" w:rsidTr="00536966">
        <w:tc>
          <w:tcPr>
            <w:tcW w:w="976" w:type="dxa"/>
            <w:vMerge/>
          </w:tcPr>
          <w:p w:rsidR="00B74B6A" w:rsidRPr="00B74B6A" w:rsidRDefault="00B74B6A" w:rsidP="00B74B6A">
            <w:pPr>
              <w:pStyle w:val="a7"/>
              <w:ind w:leftChars="0" w:left="0"/>
              <w:rPr>
                <w:rFonts w:ascii="微軟正黑體" w:eastAsia="微軟正黑體" w:hAnsi="微軟正黑體"/>
                <w:sz w:val="16"/>
              </w:rPr>
            </w:pPr>
          </w:p>
        </w:tc>
        <w:tc>
          <w:tcPr>
            <w:tcW w:w="1418" w:type="dxa"/>
            <w:vAlign w:val="center"/>
          </w:tcPr>
          <w:p w:rsidR="00B74B6A" w:rsidRPr="00B74B6A" w:rsidRDefault="00B74B6A" w:rsidP="00B74B6A">
            <w:pPr>
              <w:rPr>
                <w:rFonts w:ascii="微軟正黑體" w:eastAsia="微軟正黑體" w:hAnsi="微軟正黑體" w:cs="微軟正黑體"/>
                <w:sz w:val="16"/>
                <w:szCs w:val="16"/>
              </w:rPr>
            </w:pPr>
            <w:r w:rsidRPr="00B74B6A">
              <w:rPr>
                <w:rFonts w:ascii="微軟正黑體" w:eastAsia="微軟正黑體" w:hAnsi="微軟正黑體" w:cs="微軟正黑體"/>
                <w:sz w:val="16"/>
                <w:szCs w:val="16"/>
              </w:rPr>
              <w:t>外部訓練</w:t>
            </w:r>
          </w:p>
          <w:p w:rsidR="00B74B6A" w:rsidRPr="00B74B6A" w:rsidRDefault="00B74B6A" w:rsidP="00B74B6A">
            <w:pPr>
              <w:rPr>
                <w:rFonts w:ascii="微軟正黑體" w:eastAsia="微軟正黑體" w:hAnsi="微軟正黑體" w:cs="微軟正黑體"/>
                <w:sz w:val="16"/>
                <w:szCs w:val="16"/>
              </w:rPr>
            </w:pPr>
            <w:r w:rsidRPr="00B74B6A">
              <w:rPr>
                <w:rFonts w:ascii="微軟正黑體" w:eastAsia="微軟正黑體" w:hAnsi="微軟正黑體" w:cs="微軟正黑體"/>
                <w:sz w:val="16"/>
                <w:szCs w:val="16"/>
              </w:rPr>
              <w:t>/自主學習</w:t>
            </w:r>
          </w:p>
        </w:tc>
        <w:tc>
          <w:tcPr>
            <w:tcW w:w="5182" w:type="dxa"/>
          </w:tcPr>
          <w:p w:rsidR="00B74B6A" w:rsidRPr="00B74B6A" w:rsidRDefault="00630F35" w:rsidP="00630F35">
            <w:pPr>
              <w:pStyle w:val="a7"/>
              <w:ind w:leftChars="0" w:left="0"/>
              <w:rPr>
                <w:rFonts w:ascii="微軟正黑體" w:eastAsia="微軟正黑體" w:hAnsi="微軟正黑體"/>
                <w:sz w:val="16"/>
              </w:rPr>
            </w:pPr>
            <w:r w:rsidRPr="00630F35">
              <w:rPr>
                <w:rFonts w:ascii="微軟正黑體" w:eastAsia="微軟正黑體" w:hAnsi="微軟正黑體" w:hint="eastAsia"/>
                <w:sz w:val="16"/>
              </w:rPr>
              <w:t>鼓勵同仁自主學習，根據自身的專業領域及工作相關需求至外部參加訓練以強化工作技能，</w:t>
            </w:r>
            <w:r>
              <w:rPr>
                <w:rFonts w:ascii="微軟正黑體" w:eastAsia="微軟正黑體" w:hAnsi="微軟正黑體" w:hint="eastAsia"/>
                <w:sz w:val="16"/>
              </w:rPr>
              <w:t>由公司</w:t>
            </w:r>
            <w:r w:rsidRPr="00630F35">
              <w:rPr>
                <w:rFonts w:ascii="微軟正黑體" w:eastAsia="微軟正黑體" w:hAnsi="微軟正黑體" w:hint="eastAsia"/>
                <w:sz w:val="16"/>
              </w:rPr>
              <w:t>提供全額</w:t>
            </w:r>
            <w:r>
              <w:rPr>
                <w:rFonts w:ascii="微軟正黑體" w:eastAsia="微軟正黑體" w:hAnsi="微軟正黑體" w:hint="eastAsia"/>
                <w:sz w:val="16"/>
              </w:rPr>
              <w:t>訓練費用</w:t>
            </w:r>
            <w:r w:rsidRPr="00630F35">
              <w:rPr>
                <w:rFonts w:ascii="微軟正黑體" w:eastAsia="微軟正黑體" w:hAnsi="微軟正黑體" w:hint="eastAsia"/>
                <w:sz w:val="16"/>
              </w:rPr>
              <w:t>補助</w:t>
            </w:r>
            <w:r>
              <w:rPr>
                <w:rFonts w:ascii="微軟正黑體" w:eastAsia="微軟正黑體" w:hAnsi="微軟正黑體" w:hint="eastAsia"/>
                <w:sz w:val="16"/>
              </w:rPr>
              <w:t>，此外，也</w:t>
            </w:r>
            <w:r w:rsidRPr="00630F35">
              <w:rPr>
                <w:rFonts w:ascii="微軟正黑體" w:eastAsia="微軟正黑體" w:hAnsi="微軟正黑體" w:hint="eastAsia"/>
                <w:sz w:val="16"/>
              </w:rPr>
              <w:t>提供在職進修獎學金補助，包括：進修、學分，以及學位獎學金</w:t>
            </w:r>
            <w:r>
              <w:rPr>
                <w:rFonts w:ascii="微軟正黑體" w:eastAsia="微軟正黑體" w:hAnsi="微軟正黑體" w:hint="eastAsia"/>
                <w:sz w:val="16"/>
              </w:rPr>
              <w:t>等。</w:t>
            </w:r>
          </w:p>
        </w:tc>
      </w:tr>
      <w:tr w:rsidR="00B74B6A" w:rsidRPr="00B74B6A" w:rsidTr="00536966">
        <w:tc>
          <w:tcPr>
            <w:tcW w:w="976" w:type="dxa"/>
            <w:vMerge/>
          </w:tcPr>
          <w:p w:rsidR="00B74B6A" w:rsidRPr="00B74B6A" w:rsidRDefault="00B74B6A" w:rsidP="00B74B6A">
            <w:pPr>
              <w:pStyle w:val="a7"/>
              <w:ind w:leftChars="0" w:left="0"/>
              <w:rPr>
                <w:rFonts w:ascii="微軟正黑體" w:eastAsia="微軟正黑體" w:hAnsi="微軟正黑體"/>
                <w:sz w:val="16"/>
              </w:rPr>
            </w:pPr>
          </w:p>
        </w:tc>
        <w:tc>
          <w:tcPr>
            <w:tcW w:w="1418" w:type="dxa"/>
            <w:vAlign w:val="center"/>
          </w:tcPr>
          <w:p w:rsidR="00B74B6A" w:rsidRPr="00B74B6A" w:rsidRDefault="00B74B6A" w:rsidP="00B74B6A">
            <w:pPr>
              <w:rPr>
                <w:rFonts w:ascii="微軟正黑體" w:eastAsia="微軟正黑體" w:hAnsi="微軟正黑體" w:cs="微軟正黑體"/>
                <w:sz w:val="16"/>
                <w:szCs w:val="16"/>
              </w:rPr>
            </w:pPr>
            <w:r w:rsidRPr="00B74B6A">
              <w:rPr>
                <w:rFonts w:ascii="微軟正黑體" w:eastAsia="微軟正黑體" w:hAnsi="微軟正黑體" w:cs="微軟正黑體"/>
                <w:sz w:val="16"/>
                <w:szCs w:val="16"/>
              </w:rPr>
              <w:t>內部講師</w:t>
            </w:r>
            <w:r w:rsidR="00630F35">
              <w:rPr>
                <w:rFonts w:ascii="微軟正黑體" w:eastAsia="微軟正黑體" w:hAnsi="微軟正黑體" w:cs="微軟正黑體" w:hint="eastAsia"/>
                <w:sz w:val="16"/>
                <w:szCs w:val="16"/>
              </w:rPr>
              <w:t>機制</w:t>
            </w:r>
          </w:p>
        </w:tc>
        <w:tc>
          <w:tcPr>
            <w:tcW w:w="5182" w:type="dxa"/>
          </w:tcPr>
          <w:p w:rsidR="00B74B6A" w:rsidRPr="00B74B6A" w:rsidRDefault="00630F35" w:rsidP="00B74B6A">
            <w:pPr>
              <w:pStyle w:val="a7"/>
              <w:ind w:leftChars="0" w:left="0"/>
              <w:rPr>
                <w:rFonts w:ascii="微軟正黑體" w:eastAsia="微軟正黑體" w:hAnsi="微軟正黑體"/>
                <w:sz w:val="16"/>
              </w:rPr>
            </w:pPr>
            <w:r w:rsidRPr="00630F35">
              <w:rPr>
                <w:rFonts w:ascii="微軟正黑體" w:eastAsia="微軟正黑體" w:hAnsi="微軟正黑體" w:hint="eastAsia"/>
                <w:sz w:val="16"/>
              </w:rPr>
              <w:t>致力於單位內部的技術與研發相關的經驗分享與傳授，並給予內部講師獎勵以鼓勵同仁</w:t>
            </w:r>
            <w:r>
              <w:rPr>
                <w:rFonts w:ascii="微軟正黑體" w:eastAsia="微軟正黑體" w:hAnsi="微軟正黑體" w:hint="eastAsia"/>
                <w:sz w:val="16"/>
              </w:rPr>
              <w:t>一同打造正向學習環境。</w:t>
            </w:r>
          </w:p>
        </w:tc>
      </w:tr>
      <w:tr w:rsidR="00B74B6A" w:rsidRPr="00B74B6A" w:rsidTr="00B74B6A">
        <w:tc>
          <w:tcPr>
            <w:tcW w:w="976" w:type="dxa"/>
          </w:tcPr>
          <w:p w:rsidR="00B74B6A" w:rsidRPr="00B74B6A" w:rsidRDefault="00B74B6A" w:rsidP="00B74B6A">
            <w:pPr>
              <w:pStyle w:val="a7"/>
              <w:ind w:leftChars="0" w:left="0"/>
              <w:rPr>
                <w:rFonts w:ascii="微軟正黑體" w:eastAsia="微軟正黑體" w:hAnsi="微軟正黑體"/>
                <w:sz w:val="16"/>
              </w:rPr>
            </w:pPr>
            <w:r w:rsidRPr="00B74B6A">
              <w:rPr>
                <w:rFonts w:ascii="微軟正黑體" w:eastAsia="微軟正黑體" w:hAnsi="微軟正黑體" w:hint="eastAsia"/>
                <w:sz w:val="16"/>
              </w:rPr>
              <w:t>主管同仁</w:t>
            </w:r>
          </w:p>
        </w:tc>
        <w:tc>
          <w:tcPr>
            <w:tcW w:w="1418" w:type="dxa"/>
          </w:tcPr>
          <w:p w:rsidR="00B74B6A" w:rsidRPr="00B74B6A" w:rsidRDefault="00B74B6A" w:rsidP="00B74B6A">
            <w:pPr>
              <w:pStyle w:val="a7"/>
              <w:ind w:leftChars="0" w:left="0"/>
              <w:rPr>
                <w:rFonts w:ascii="微軟正黑體" w:eastAsia="微軟正黑體" w:hAnsi="微軟正黑體"/>
                <w:sz w:val="16"/>
                <w:szCs w:val="16"/>
              </w:rPr>
            </w:pPr>
            <w:r w:rsidRPr="00B74B6A">
              <w:rPr>
                <w:rFonts w:ascii="微軟正黑體" w:eastAsia="微軟正黑體" w:hAnsi="微軟正黑體" w:cs="微軟正黑體"/>
                <w:sz w:val="16"/>
                <w:szCs w:val="16"/>
              </w:rPr>
              <w:t>初階與</w:t>
            </w:r>
            <w:r w:rsidRPr="00B74B6A">
              <w:rPr>
                <w:rFonts w:ascii="微軟正黑體" w:eastAsia="微軟正黑體" w:hAnsi="微軟正黑體"/>
                <w:sz w:val="16"/>
                <w:szCs w:val="16"/>
              </w:rPr>
              <w:t>中、高階主管</w:t>
            </w:r>
          </w:p>
        </w:tc>
        <w:tc>
          <w:tcPr>
            <w:tcW w:w="5182" w:type="dxa"/>
          </w:tcPr>
          <w:p w:rsidR="00B74B6A" w:rsidRPr="00B74B6A" w:rsidRDefault="00B74B6A" w:rsidP="006C0503">
            <w:pPr>
              <w:pStyle w:val="a7"/>
              <w:ind w:leftChars="0" w:left="0"/>
              <w:rPr>
                <w:rFonts w:ascii="微軟正黑體" w:eastAsia="微軟正黑體" w:hAnsi="微軟正黑體"/>
                <w:sz w:val="16"/>
              </w:rPr>
            </w:pPr>
            <w:r w:rsidRPr="00B74B6A">
              <w:rPr>
                <w:rFonts w:ascii="微軟正黑體" w:eastAsia="微軟正黑體" w:hAnsi="微軟正黑體" w:hint="eastAsia"/>
                <w:sz w:val="16"/>
              </w:rPr>
              <w:t>針對主管特別予以培訓及發展</w:t>
            </w:r>
            <w:r>
              <w:rPr>
                <w:rFonts w:ascii="微軟正黑體" w:eastAsia="微軟正黑體" w:hAnsi="微軟正黑體" w:hint="eastAsia"/>
                <w:sz w:val="16"/>
              </w:rPr>
              <w:t>，並</w:t>
            </w:r>
            <w:r w:rsidRPr="00B74B6A">
              <w:rPr>
                <w:rFonts w:ascii="微軟正黑體" w:eastAsia="微軟正黑體" w:hAnsi="微軟正黑體" w:hint="eastAsia"/>
                <w:sz w:val="16"/>
              </w:rPr>
              <w:t>因應</w:t>
            </w:r>
            <w:r>
              <w:rPr>
                <w:rFonts w:ascii="微軟正黑體" w:eastAsia="微軟正黑體" w:hAnsi="微軟正黑體" w:hint="eastAsia"/>
                <w:sz w:val="16"/>
              </w:rPr>
              <w:t>年度</w:t>
            </w:r>
            <w:r w:rsidRPr="00B74B6A">
              <w:rPr>
                <w:rFonts w:ascii="微軟正黑體" w:eastAsia="微軟正黑體" w:hAnsi="微軟正黑體" w:hint="eastAsia"/>
                <w:sz w:val="16"/>
              </w:rPr>
              <w:t>員工敬業度調查結果，</w:t>
            </w:r>
            <w:r>
              <w:rPr>
                <w:rFonts w:ascii="微軟正黑體" w:eastAsia="微軟正黑體" w:hAnsi="微軟正黑體" w:hint="eastAsia"/>
                <w:sz w:val="16"/>
              </w:rPr>
              <w:t>適當調整年訓練重點及規劃，並以不同階段的主管職能進行差異化課程設計，</w:t>
            </w:r>
            <w:r w:rsidRPr="00B74B6A">
              <w:rPr>
                <w:rFonts w:ascii="微軟正黑體" w:eastAsia="微軟正黑體" w:hAnsi="微軟正黑體" w:hint="eastAsia"/>
                <w:sz w:val="16"/>
              </w:rPr>
              <w:t>同時也規劃許多課前活動及課後討論分享，讓課程更能與管理實務現況接軌。此外，我們也利用團隊教練的方式，讓高階主管能夠快速地進入工作情境，並準確地應用相關技巧解決問題。</w:t>
            </w:r>
          </w:p>
        </w:tc>
      </w:tr>
    </w:tbl>
    <w:p w:rsidR="00B74B6A" w:rsidRDefault="00B74B6A" w:rsidP="00B74B6A">
      <w:pPr>
        <w:pStyle w:val="a7"/>
        <w:ind w:leftChars="0" w:left="720"/>
        <w:rPr>
          <w:rFonts w:ascii="微軟正黑體" w:eastAsia="微軟正黑體" w:hAnsi="微軟正黑體"/>
        </w:rPr>
      </w:pPr>
    </w:p>
    <w:p w:rsidR="00C90E96" w:rsidRPr="00C90E96" w:rsidRDefault="00C90E96" w:rsidP="00C90E96">
      <w:pPr>
        <w:pStyle w:val="a7"/>
        <w:ind w:leftChars="0" w:left="720"/>
        <w:rPr>
          <w:rFonts w:ascii="微軟正黑體" w:eastAsia="微軟正黑體" w:hAnsi="微軟正黑體"/>
          <w:b/>
          <w:sz w:val="28"/>
          <w:u w:val="single"/>
        </w:rPr>
      </w:pPr>
      <w:r w:rsidRPr="00C90E96">
        <w:rPr>
          <w:rFonts w:ascii="微軟正黑體" w:eastAsia="微軟正黑體" w:hAnsi="微軟正黑體" w:hint="eastAsia"/>
          <w:b/>
          <w:sz w:val="28"/>
          <w:u w:val="single"/>
        </w:rPr>
        <w:t>績效管理與發展</w:t>
      </w:r>
    </w:p>
    <w:p w:rsidR="00C90E96" w:rsidRDefault="00C90E96" w:rsidP="00C90E96">
      <w:pPr>
        <w:pStyle w:val="a7"/>
        <w:ind w:leftChars="0" w:left="720"/>
        <w:rPr>
          <w:rFonts w:ascii="微軟正黑體" w:eastAsia="微軟正黑體" w:hAnsi="微軟正黑體"/>
        </w:rPr>
      </w:pPr>
      <w:r w:rsidRPr="00C90E96">
        <w:rPr>
          <w:rFonts w:ascii="微軟正黑體" w:eastAsia="微軟正黑體" w:hAnsi="微軟正黑體" w:hint="eastAsia"/>
        </w:rPr>
        <w:t>每年定期進行員工績效考核，作為員工晉升、調薪，及其他人事作業的重要參考依據。我們致力不受性別、年齡或工作類別的限制，每位正職同仁均需要參與當年度的績效評核。透過績效管理，主管與員工共同檢視過去目標的達成情況，對於優異表現給予高度肯定與強化激勵；對於</w:t>
      </w:r>
      <w:r w:rsidRPr="00C90E96">
        <w:rPr>
          <w:rFonts w:ascii="微軟正黑體" w:eastAsia="微軟正黑體" w:hAnsi="微軟正黑體" w:hint="eastAsia"/>
        </w:rPr>
        <w:lastRenderedPageBreak/>
        <w:t>有改善空間的地方提供指導與補強。除了評估工作成效外，我們更注重員工潛能的開發與未來展望，希望能有效引導員工追求更高的工作品質。為此，創意電子積極推行績效管理與發展（Performance Management and Development, PMD）制度，包括新進人員試用期考核、年度績效評核，及績效輔導計畫。</w:t>
      </w:r>
    </w:p>
    <w:p w:rsidR="00C90E96" w:rsidRPr="00C90E96" w:rsidRDefault="00C90E96" w:rsidP="00C90E96">
      <w:pPr>
        <w:pStyle w:val="a7"/>
        <w:ind w:leftChars="0" w:left="720"/>
        <w:rPr>
          <w:rFonts w:ascii="微軟正黑體" w:eastAsia="微軟正黑體" w:hAnsi="微軟正黑體"/>
        </w:rPr>
      </w:pPr>
      <w:r w:rsidRPr="00C90E96">
        <w:rPr>
          <w:rFonts w:ascii="微軟正黑體" w:eastAsia="微軟正黑體" w:hAnsi="微軟正黑體" w:hint="eastAsia"/>
        </w:rPr>
        <w:t>我們的績效管理系統不僅考量個人表現，也納入團隊目標的評估。團隊目標按照管理目標制（MBO）的原則自上而下分解為個人目標，確保每位員工的工作貢獻，都能如實地反饋到整體團隊目標的達成。此外，經理人每年需向董事會報告單位與個人的績效目標，經核定後，次年第一季提報全年團隊與個人績效成果，以確保公司年度目標的實現。透過 MBO 制度，我們確保所有員工清楚了解他們的工作目標，並努力朝公司整體目標邁進，進而提高工作效率和績效。</w:t>
      </w:r>
    </w:p>
    <w:p w:rsidR="00C90E96" w:rsidRPr="00B74B6A" w:rsidRDefault="00C90E96" w:rsidP="00C90E96">
      <w:pPr>
        <w:pStyle w:val="a7"/>
        <w:ind w:leftChars="0" w:left="720"/>
        <w:rPr>
          <w:rFonts w:ascii="微軟正黑體" w:eastAsia="微軟正黑體" w:hAnsi="微軟正黑體"/>
        </w:rPr>
      </w:pPr>
      <w:r w:rsidRPr="00C90E96">
        <w:rPr>
          <w:rFonts w:ascii="微軟正黑體" w:eastAsia="微軟正黑體" w:hAnsi="微軟正黑體" w:hint="eastAsia"/>
        </w:rPr>
        <w:t>除了各級主管的評核，我們的績效評核系統涵蓋跨部門同仁共同評核機制（Joint Review），及跨單位主管的審核機制。這種全面性的評核方式讓我們</w:t>
      </w:r>
      <w:r>
        <w:rPr>
          <w:rFonts w:ascii="微軟正黑體" w:eastAsia="微軟正黑體" w:hAnsi="微軟正黑體" w:hint="eastAsia"/>
        </w:rPr>
        <w:t>更全面地了解員工表現，並提供更多元的反饋，促進員工的成長與發展</w:t>
      </w:r>
      <w:r w:rsidRPr="00C90E96">
        <w:rPr>
          <w:rFonts w:ascii="微軟正黑體" w:eastAsia="微軟正黑體" w:hAnsi="微軟正黑體" w:hint="eastAsia"/>
        </w:rPr>
        <w:t>。PMD 管理系統著重於「績效」與「發展」的平衡，強調持續互動與溝通。我們堅信透過這樣能建立起一個公平、公正且有助提升員工績效的工作環境。</w:t>
      </w:r>
    </w:p>
    <w:sectPr w:rsidR="00C90E96" w:rsidRPr="00B74B6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6A" w:rsidRDefault="00B74B6A" w:rsidP="00B74B6A">
      <w:r>
        <w:separator/>
      </w:r>
    </w:p>
  </w:endnote>
  <w:endnote w:type="continuationSeparator" w:id="0">
    <w:p w:rsidR="00B74B6A" w:rsidRDefault="00B74B6A" w:rsidP="00B7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6A" w:rsidRDefault="00B74B6A" w:rsidP="00B74B6A">
      <w:r>
        <w:separator/>
      </w:r>
    </w:p>
  </w:footnote>
  <w:footnote w:type="continuationSeparator" w:id="0">
    <w:p w:rsidR="00B74B6A" w:rsidRDefault="00B74B6A" w:rsidP="00B74B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9734A"/>
    <w:multiLevelType w:val="hybridMultilevel"/>
    <w:tmpl w:val="7D9AE912"/>
    <w:lvl w:ilvl="0" w:tplc="3E7A31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FE"/>
    <w:rsid w:val="00253AFE"/>
    <w:rsid w:val="00630F35"/>
    <w:rsid w:val="006C0503"/>
    <w:rsid w:val="00706D7E"/>
    <w:rsid w:val="009B217B"/>
    <w:rsid w:val="00B74B6A"/>
    <w:rsid w:val="00C90E96"/>
    <w:rsid w:val="00D34773"/>
    <w:rsid w:val="00E441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C93CF5"/>
  <w15:chartTrackingRefBased/>
  <w15:docId w15:val="{ACF00520-0C79-4D9B-8220-4FF0599E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6A"/>
    <w:pPr>
      <w:tabs>
        <w:tab w:val="center" w:pos="4153"/>
        <w:tab w:val="right" w:pos="8306"/>
      </w:tabs>
      <w:snapToGrid w:val="0"/>
    </w:pPr>
    <w:rPr>
      <w:sz w:val="20"/>
      <w:szCs w:val="20"/>
    </w:rPr>
  </w:style>
  <w:style w:type="character" w:customStyle="1" w:styleId="a4">
    <w:name w:val="頁首 字元"/>
    <w:basedOn w:val="a0"/>
    <w:link w:val="a3"/>
    <w:uiPriority w:val="99"/>
    <w:rsid w:val="00B74B6A"/>
    <w:rPr>
      <w:sz w:val="20"/>
      <w:szCs w:val="20"/>
    </w:rPr>
  </w:style>
  <w:style w:type="paragraph" w:styleId="a5">
    <w:name w:val="footer"/>
    <w:basedOn w:val="a"/>
    <w:link w:val="a6"/>
    <w:uiPriority w:val="99"/>
    <w:unhideWhenUsed/>
    <w:rsid w:val="00B74B6A"/>
    <w:pPr>
      <w:tabs>
        <w:tab w:val="center" w:pos="4153"/>
        <w:tab w:val="right" w:pos="8306"/>
      </w:tabs>
      <w:snapToGrid w:val="0"/>
    </w:pPr>
    <w:rPr>
      <w:sz w:val="20"/>
      <w:szCs w:val="20"/>
    </w:rPr>
  </w:style>
  <w:style w:type="character" w:customStyle="1" w:styleId="a6">
    <w:name w:val="頁尾 字元"/>
    <w:basedOn w:val="a0"/>
    <w:link w:val="a5"/>
    <w:uiPriority w:val="99"/>
    <w:rsid w:val="00B74B6A"/>
    <w:rPr>
      <w:sz w:val="20"/>
      <w:szCs w:val="20"/>
    </w:rPr>
  </w:style>
  <w:style w:type="paragraph" w:styleId="a7">
    <w:name w:val="List Paragraph"/>
    <w:basedOn w:val="a"/>
    <w:uiPriority w:val="34"/>
    <w:qFormat/>
    <w:rsid w:val="00B74B6A"/>
    <w:pPr>
      <w:ind w:leftChars="200" w:left="480"/>
    </w:pPr>
  </w:style>
  <w:style w:type="table" w:styleId="a8">
    <w:name w:val="Table Grid"/>
    <w:basedOn w:val="a1"/>
    <w:uiPriority w:val="39"/>
    <w:rsid w:val="00B74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oliver.he@W10V06-014</dc:creator>
  <cp:keywords/>
  <dc:description/>
  <cp:lastModifiedBy>oliver.he@W10V06-014</cp:lastModifiedBy>
  <cp:revision>8</cp:revision>
  <dcterms:created xsi:type="dcterms:W3CDTF">2025-01-13T05:49:00Z</dcterms:created>
  <dcterms:modified xsi:type="dcterms:W3CDTF">2025-01-14T01:29:00Z</dcterms:modified>
</cp:coreProperties>
</file>