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FE24" w14:textId="30D41467" w:rsidR="00725EE9" w:rsidRPr="00B72BE4" w:rsidRDefault="00B72BE4">
      <w:pPr>
        <w:rPr>
          <w:b/>
          <w:bCs/>
          <w:sz w:val="32"/>
          <w:szCs w:val="28"/>
        </w:rPr>
      </w:pPr>
      <w:r w:rsidRPr="00B72BE4">
        <w:rPr>
          <w:rFonts w:hint="eastAsia"/>
          <w:b/>
          <w:bCs/>
          <w:sz w:val="32"/>
          <w:szCs w:val="28"/>
        </w:rPr>
        <w:t>公司治理</w:t>
      </w:r>
    </w:p>
    <w:p w14:paraId="7111C688" w14:textId="77777777" w:rsidR="00B72BE4" w:rsidRPr="00B72BE4" w:rsidRDefault="00B72BE4" w:rsidP="00B72BE4">
      <w:pPr>
        <w:spacing w:line="360" w:lineRule="auto"/>
      </w:pPr>
      <w:r w:rsidRPr="00B72BE4">
        <w:rPr>
          <w:rFonts w:hint="eastAsia"/>
        </w:rPr>
        <w:t>創意電子對於公司治理的原則是高度自律，強化董事職能，維護股東權益，提升信息的透明度並關注環境及社會議題對公司的影響，確保公司的永續經營。在此原則下，本公司於</w:t>
      </w:r>
      <w:r w:rsidRPr="00B72BE4">
        <w:rPr>
          <w:rFonts w:hint="eastAsia"/>
        </w:rPr>
        <w:t>109</w:t>
      </w:r>
      <w:r w:rsidRPr="00B72BE4">
        <w:rPr>
          <w:rFonts w:hint="eastAsia"/>
        </w:rPr>
        <w:t>年自願提前設置公司治理主管協助董事會運作。此外，董事會授權其下設立之審計委員會及薪酬委員會，分別協助董事會履行其監督職責。各委員會的組織章程皆經董事會核准，且各委員會的主席定期向董事會報告其討論和決議。</w:t>
      </w:r>
    </w:p>
    <w:p w14:paraId="51FA4425" w14:textId="77777777" w:rsidR="00B72BE4" w:rsidRPr="00B72BE4" w:rsidRDefault="00B72BE4" w:rsidP="00B72BE4">
      <w:pPr>
        <w:spacing w:line="360" w:lineRule="auto"/>
      </w:pPr>
    </w:p>
    <w:p w14:paraId="531F7893" w14:textId="1A5D343F" w:rsidR="00B72BE4" w:rsidRPr="00B72BE4" w:rsidRDefault="00B72BE4" w:rsidP="00B72BE4">
      <w:pPr>
        <w:spacing w:line="360" w:lineRule="auto"/>
      </w:pPr>
      <w:r w:rsidRPr="00B72BE4">
        <w:rPr>
          <w:rFonts w:hint="eastAsia"/>
        </w:rPr>
        <w:t>本公司已連續七年蟬聯證券交易所「公司治理評鑑」排名前</w:t>
      </w:r>
      <w:r w:rsidRPr="00B72BE4">
        <w:rPr>
          <w:rFonts w:hint="eastAsia"/>
        </w:rPr>
        <w:t>5%</w:t>
      </w:r>
      <w:r w:rsidRPr="00B72BE4">
        <w:rPr>
          <w:rFonts w:hint="eastAsia"/>
        </w:rPr>
        <w:t>的殊榮，顯示我們在「維護股東權益及平等對待股東」、「強化董事會結構與運作」、「強化信息透明」及「落實企業社會責任」等層面發展良好。</w:t>
      </w:r>
    </w:p>
    <w:p w14:paraId="35D50047" w14:textId="779A5B34" w:rsidR="00B72BE4" w:rsidRDefault="00B72BE4" w:rsidP="00B72BE4">
      <w:pPr>
        <w:spacing w:line="360" w:lineRule="auto"/>
        <w:rPr>
          <w:sz w:val="28"/>
          <w:szCs w:val="24"/>
        </w:rPr>
      </w:pPr>
    </w:p>
    <w:p w14:paraId="73AC6AB4" w14:textId="0EE1526A" w:rsidR="00B72BE4" w:rsidRDefault="00B72BE4" w:rsidP="00B72BE4">
      <w:pPr>
        <w:spacing w:line="360" w:lineRule="auto"/>
        <w:rPr>
          <w:sz w:val="28"/>
          <w:szCs w:val="24"/>
        </w:rPr>
      </w:pPr>
      <w:r w:rsidRPr="00B72BE4">
        <w:rPr>
          <w:rFonts w:hint="eastAsia"/>
          <w:sz w:val="28"/>
          <w:szCs w:val="24"/>
          <w:u w:val="single"/>
        </w:rPr>
        <w:t>公司治理評鑑連續</w:t>
      </w:r>
      <w:r w:rsidRPr="00B72BE4">
        <w:rPr>
          <w:rFonts w:hint="eastAsia"/>
          <w:sz w:val="28"/>
          <w:szCs w:val="24"/>
          <w:u w:val="single"/>
        </w:rPr>
        <w:t xml:space="preserve"> TOP 5%</w:t>
      </w:r>
      <w:r>
        <w:rPr>
          <w:rFonts w:hint="eastAsia"/>
          <w:sz w:val="28"/>
          <w:szCs w:val="24"/>
        </w:rPr>
        <w:t xml:space="preserve"> (</w:t>
      </w:r>
      <w:r>
        <w:rPr>
          <w:rFonts w:hint="eastAsia"/>
          <w:sz w:val="28"/>
          <w:szCs w:val="24"/>
        </w:rPr>
        <w:t>連結影片</w:t>
      </w:r>
      <w:r>
        <w:rPr>
          <w:rFonts w:hint="eastAsia"/>
          <w:sz w:val="28"/>
          <w:szCs w:val="24"/>
        </w:rPr>
        <w:t>)</w:t>
      </w:r>
    </w:p>
    <w:p w14:paraId="75236227" w14:textId="77777777" w:rsidR="00B72BE4" w:rsidRDefault="00B72BE4" w:rsidP="00B72BE4">
      <w:pPr>
        <w:spacing w:line="360" w:lineRule="auto"/>
        <w:rPr>
          <w:sz w:val="28"/>
          <w:szCs w:val="24"/>
        </w:rPr>
      </w:pPr>
    </w:p>
    <w:p w14:paraId="62FDF4D5" w14:textId="441E2000" w:rsidR="00B72BE4" w:rsidRDefault="00B72BE4" w:rsidP="00B72BE4">
      <w:pPr>
        <w:spacing w:line="360" w:lineRule="auto"/>
        <w:rPr>
          <w:sz w:val="28"/>
          <w:szCs w:val="24"/>
        </w:rPr>
      </w:pPr>
      <w:r>
        <w:rPr>
          <w:rFonts w:hint="eastAsia"/>
          <w:noProof/>
          <w:sz w:val="28"/>
          <w:szCs w:val="24"/>
        </w:rPr>
        <w:lastRenderedPageBreak/>
        <w:drawing>
          <wp:anchor distT="0" distB="0" distL="114300" distR="114300" simplePos="0" relativeHeight="251658240" behindDoc="0" locked="0" layoutInCell="1" allowOverlap="1" wp14:anchorId="22A49645" wp14:editId="46CB7FA7">
            <wp:simplePos x="0" y="0"/>
            <wp:positionH relativeFrom="column">
              <wp:align>left</wp:align>
            </wp:positionH>
            <wp:positionV relativeFrom="paragraph">
              <wp:posOffset>3961765</wp:posOffset>
            </wp:positionV>
            <wp:extent cx="14478000" cy="11257915"/>
            <wp:effectExtent l="0" t="0" r="0" b="635"/>
            <wp:wrapThrough wrapText="bothSides">
              <wp:wrapPolygon edited="0">
                <wp:start x="0" y="0"/>
                <wp:lineTo x="0" y="21565"/>
                <wp:lineTo x="21572" y="21565"/>
                <wp:lineTo x="21572"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6">
                      <a:extLst>
                        <a:ext uri="{28A0092B-C50C-407E-A947-70E740481C1C}">
                          <a14:useLocalDpi xmlns:a14="http://schemas.microsoft.com/office/drawing/2010/main" val="0"/>
                        </a:ext>
                      </a:extLst>
                    </a:blip>
                    <a:stretch>
                      <a:fillRect/>
                    </a:stretch>
                  </pic:blipFill>
                  <pic:spPr>
                    <a:xfrm>
                      <a:off x="0" y="0"/>
                      <a:ext cx="14491280" cy="11268783"/>
                    </a:xfrm>
                    <a:prstGeom prst="rect">
                      <a:avLst/>
                    </a:prstGeom>
                  </pic:spPr>
                </pic:pic>
              </a:graphicData>
            </a:graphic>
            <wp14:sizeRelH relativeFrom="page">
              <wp14:pctWidth>0</wp14:pctWidth>
            </wp14:sizeRelH>
            <wp14:sizeRelV relativeFrom="page">
              <wp14:pctHeight>0</wp14:pctHeight>
            </wp14:sizeRelV>
          </wp:anchor>
        </w:drawing>
      </w:r>
    </w:p>
    <w:p w14:paraId="68A75F77" w14:textId="539B56BC" w:rsidR="00B72BE4" w:rsidRPr="00B72BE4" w:rsidRDefault="00B72BE4" w:rsidP="00B72BE4">
      <w:pPr>
        <w:spacing w:line="360" w:lineRule="auto"/>
        <w:rPr>
          <w:b/>
          <w:bCs/>
          <w:sz w:val="28"/>
          <w:szCs w:val="24"/>
        </w:rPr>
      </w:pPr>
      <w:r w:rsidRPr="00B72BE4">
        <w:rPr>
          <w:rFonts w:hint="eastAsia"/>
          <w:b/>
          <w:bCs/>
          <w:sz w:val="28"/>
          <w:szCs w:val="24"/>
        </w:rPr>
        <w:lastRenderedPageBreak/>
        <w:t>公司治理專職單位</w:t>
      </w:r>
    </w:p>
    <w:p w14:paraId="6660CA00" w14:textId="69797477" w:rsidR="00B72BE4" w:rsidRPr="00B72BE4" w:rsidRDefault="00B72BE4" w:rsidP="00B72BE4">
      <w:pPr>
        <w:spacing w:line="360" w:lineRule="auto"/>
      </w:pPr>
      <w:r w:rsidRPr="00B72BE4">
        <w:rPr>
          <w:rFonts w:hint="eastAsia"/>
        </w:rPr>
        <w:t>本公司董事會於</w:t>
      </w:r>
      <w:r w:rsidRPr="00B72BE4">
        <w:rPr>
          <w:rFonts w:hint="eastAsia"/>
        </w:rPr>
        <w:t>109/07/30</w:t>
      </w:r>
      <w:r w:rsidRPr="00B72BE4">
        <w:rPr>
          <w:rFonts w:hint="eastAsia"/>
        </w:rPr>
        <w:t>任命公司治理主管，並由財務處、法務處、內部稽核及人力資源處共七人為公司治理工作小組，負責公司治理相關事務，包括提供董事執行業務所需數據、協助董事遵循法令、依法辦理董事會及股東會之會議相關事宜、辦理公司登記及變更登記、製作董事會及股東會議事錄，並協助董事會強化職能，落實維護利害關係人權益及股東平等對待等。</w:t>
      </w:r>
    </w:p>
    <w:p w14:paraId="7375F4A2" w14:textId="0F36F147" w:rsidR="00B72BE4" w:rsidRDefault="00B72BE4" w:rsidP="00B72BE4">
      <w:pPr>
        <w:spacing w:line="360" w:lineRule="auto"/>
        <w:rPr>
          <w:sz w:val="28"/>
          <w:szCs w:val="24"/>
        </w:rPr>
      </w:pPr>
    </w:p>
    <w:p w14:paraId="49D2DF2C" w14:textId="524B7CF0" w:rsidR="00B72BE4" w:rsidRDefault="00B72BE4" w:rsidP="00B72BE4">
      <w:pPr>
        <w:spacing w:line="360" w:lineRule="auto"/>
        <w:rPr>
          <w:sz w:val="28"/>
          <w:szCs w:val="24"/>
        </w:rPr>
      </w:pPr>
      <w:r w:rsidRPr="00B72BE4">
        <w:rPr>
          <w:rFonts w:hint="eastAsia"/>
          <w:sz w:val="28"/>
          <w:szCs w:val="24"/>
        </w:rPr>
        <w:t>企業誠信經營專職單位</w:t>
      </w:r>
    </w:p>
    <w:p w14:paraId="3D3C2C28" w14:textId="77777777" w:rsidR="00B72BE4" w:rsidRPr="00B72BE4" w:rsidRDefault="00B72BE4" w:rsidP="00B72BE4">
      <w:pPr>
        <w:spacing w:line="360" w:lineRule="auto"/>
        <w:rPr>
          <w:sz w:val="28"/>
          <w:szCs w:val="24"/>
        </w:rPr>
      </w:pPr>
      <w:r w:rsidRPr="00B72BE4">
        <w:rPr>
          <w:rFonts w:hint="eastAsia"/>
          <w:sz w:val="28"/>
          <w:szCs w:val="24"/>
        </w:rPr>
        <w:t>本公司承諾遵循政府法令及商業倫理規範，致力秉持公開、廉潔及當責的最高標準，積極落實企業社會公民責任、確保企業道德、秉持誠信經營來拓展業務！謹此本公司特制定「誠信經營作業程序暨從業道德規範」及「舉報與申訴政策、及其檢舉辦法」。</w:t>
      </w:r>
    </w:p>
    <w:p w14:paraId="4876E228" w14:textId="77777777" w:rsidR="00B72BE4" w:rsidRPr="00B72BE4" w:rsidRDefault="00B72BE4" w:rsidP="00B72BE4">
      <w:pPr>
        <w:spacing w:line="360" w:lineRule="auto"/>
        <w:rPr>
          <w:sz w:val="28"/>
          <w:szCs w:val="24"/>
        </w:rPr>
      </w:pPr>
    </w:p>
    <w:p w14:paraId="13CEFA64" w14:textId="77777777" w:rsidR="00B72BE4" w:rsidRPr="00B72BE4" w:rsidRDefault="00B72BE4" w:rsidP="00B72BE4">
      <w:pPr>
        <w:spacing w:line="360" w:lineRule="auto"/>
        <w:rPr>
          <w:sz w:val="28"/>
          <w:szCs w:val="24"/>
        </w:rPr>
      </w:pPr>
      <w:r w:rsidRPr="00B72BE4">
        <w:rPr>
          <w:rFonts w:hint="eastAsia"/>
          <w:sz w:val="28"/>
          <w:szCs w:val="24"/>
        </w:rPr>
        <w:t>本申訴政策</w:t>
      </w:r>
      <w:r w:rsidRPr="00B72BE4">
        <w:rPr>
          <w:sz w:val="28"/>
          <w:szCs w:val="24"/>
        </w:rPr>
        <w:t>/</w:t>
      </w:r>
      <w:r w:rsidRPr="00B72BE4">
        <w:rPr>
          <w:rFonts w:hint="eastAsia"/>
          <w:sz w:val="28"/>
          <w:szCs w:val="24"/>
        </w:rPr>
        <w:t>辦法的建立，即在有效管理公司內、外部從業道德舉報</w:t>
      </w:r>
      <w:r w:rsidRPr="00B72BE4">
        <w:rPr>
          <w:sz w:val="28"/>
          <w:szCs w:val="24"/>
        </w:rPr>
        <w:t>(</w:t>
      </w:r>
      <w:r w:rsidRPr="00B72BE4">
        <w:rPr>
          <w:rFonts w:hint="eastAsia"/>
          <w:sz w:val="28"/>
          <w:szCs w:val="24"/>
        </w:rPr>
        <w:t>申訴</w:t>
      </w:r>
      <w:r w:rsidRPr="00B72BE4">
        <w:rPr>
          <w:sz w:val="28"/>
          <w:szCs w:val="24"/>
        </w:rPr>
        <w:t>)</w:t>
      </w:r>
      <w:r w:rsidRPr="00B72BE4">
        <w:rPr>
          <w:rFonts w:hint="eastAsia"/>
          <w:sz w:val="28"/>
          <w:szCs w:val="24"/>
        </w:rPr>
        <w:t>管道，使確保本公司上述的誠信經營承諾得以落實執行，並確保舉報</w:t>
      </w:r>
      <w:r w:rsidRPr="00B72BE4">
        <w:rPr>
          <w:sz w:val="28"/>
          <w:szCs w:val="24"/>
        </w:rPr>
        <w:t>(</w:t>
      </w:r>
      <w:r w:rsidRPr="00B72BE4">
        <w:rPr>
          <w:rFonts w:hint="eastAsia"/>
          <w:sz w:val="28"/>
          <w:szCs w:val="24"/>
        </w:rPr>
        <w:t>申訴</w:t>
      </w:r>
      <w:r w:rsidRPr="00B72BE4">
        <w:rPr>
          <w:sz w:val="28"/>
          <w:szCs w:val="24"/>
        </w:rPr>
        <w:t>)</w:t>
      </w:r>
      <w:r w:rsidRPr="00B72BE4">
        <w:rPr>
          <w:rFonts w:hint="eastAsia"/>
          <w:sz w:val="28"/>
          <w:szCs w:val="24"/>
        </w:rPr>
        <w:t>人之合法權益。並積極設置保密管道，給予客戶、股東、政府機關、社會、供應商及本公司員工等利害關係人士（例如業務夥伴、供應商、以及公眾人士等等），得就欺詐行為、不道德行為（例如貪污或賄賂），或實際、或潛在違反法律及／或公司政策進行舉報或申訴！此申訴管道，調查委員會指派窗口定期回覆申訴人案件審理之進度；並由高階主管管理會議定期追踪及控管審理進</w:t>
      </w:r>
      <w:r w:rsidRPr="00B72BE4">
        <w:rPr>
          <w:rFonts w:hint="eastAsia"/>
          <w:sz w:val="28"/>
          <w:szCs w:val="24"/>
        </w:rPr>
        <w:lastRenderedPageBreak/>
        <w:t>度。</w:t>
      </w:r>
    </w:p>
    <w:p w14:paraId="06688A59" w14:textId="77777777" w:rsidR="00B72BE4" w:rsidRPr="00B72BE4" w:rsidRDefault="00B72BE4" w:rsidP="00B72BE4">
      <w:pPr>
        <w:spacing w:line="360" w:lineRule="auto"/>
        <w:rPr>
          <w:sz w:val="28"/>
          <w:szCs w:val="24"/>
        </w:rPr>
      </w:pPr>
    </w:p>
    <w:p w14:paraId="73903EC3" w14:textId="77777777" w:rsidR="00B72BE4" w:rsidRPr="00B72BE4" w:rsidRDefault="00B72BE4" w:rsidP="00B72BE4">
      <w:pPr>
        <w:spacing w:line="360" w:lineRule="auto"/>
        <w:rPr>
          <w:sz w:val="28"/>
          <w:szCs w:val="24"/>
        </w:rPr>
      </w:pPr>
      <w:r w:rsidRPr="00B72BE4">
        <w:rPr>
          <w:rFonts w:hint="eastAsia"/>
          <w:sz w:val="28"/>
          <w:szCs w:val="24"/>
        </w:rPr>
        <w:t>本公司每年至少一次對經理人與所有員工舉辦誠信經營相關之教育訓練；對新任受僱者則在新人訓練時予以訓練宣導。</w:t>
      </w:r>
    </w:p>
    <w:p w14:paraId="7FC4B526" w14:textId="77777777" w:rsidR="00B72BE4" w:rsidRPr="00B72BE4" w:rsidRDefault="00B72BE4" w:rsidP="00B72BE4">
      <w:pPr>
        <w:spacing w:line="360" w:lineRule="auto"/>
        <w:rPr>
          <w:sz w:val="28"/>
          <w:szCs w:val="24"/>
        </w:rPr>
      </w:pPr>
    </w:p>
    <w:p w14:paraId="3504F168" w14:textId="4C42F1E3" w:rsidR="00B72BE4" w:rsidRDefault="00B72BE4" w:rsidP="00B72BE4">
      <w:pPr>
        <w:spacing w:line="360" w:lineRule="auto"/>
        <w:rPr>
          <w:sz w:val="28"/>
          <w:szCs w:val="24"/>
        </w:rPr>
      </w:pPr>
      <w:r w:rsidRPr="00B72BE4">
        <w:rPr>
          <w:rFonts w:hint="eastAsia"/>
          <w:sz w:val="28"/>
          <w:szCs w:val="24"/>
        </w:rPr>
        <w:t>人力資源部門為本公司專責單位辦理「誠信經營作業程序暨從業道德規範」辦法之修訂、執行、解釋、諮詢服務暨通報內容登錄建文件等相關作業及監督執行，同時，各單位依據各自工作職掌範疇，執行誠信經營政策及防範方案，共同來確保誠信經營守則被落實，人力資源單位每年向董事會報告前一年度執行成果。</w:t>
      </w:r>
    </w:p>
    <w:tbl>
      <w:tblPr>
        <w:tblW w:w="907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644"/>
        <w:gridCol w:w="1312"/>
        <w:gridCol w:w="1360"/>
        <w:gridCol w:w="1360"/>
        <w:gridCol w:w="1397"/>
      </w:tblGrid>
      <w:tr w:rsidR="00FA1895" w:rsidRPr="007E1805" w14:paraId="6F1BB838" w14:textId="77777777" w:rsidTr="00FA1895">
        <w:trPr>
          <w:trHeight w:val="227"/>
        </w:trPr>
        <w:tc>
          <w:tcPr>
            <w:tcW w:w="3644" w:type="dxa"/>
            <w:shd w:val="clear" w:color="auto" w:fill="auto"/>
            <w:tcMar>
              <w:top w:w="72" w:type="dxa"/>
              <w:left w:w="144" w:type="dxa"/>
              <w:bottom w:w="72" w:type="dxa"/>
              <w:right w:w="144" w:type="dxa"/>
            </w:tcMar>
            <w:hideMark/>
          </w:tcPr>
          <w:p w14:paraId="34582B88" w14:textId="77777777" w:rsidR="00FA1895" w:rsidRPr="007E1805" w:rsidRDefault="00FA1895" w:rsidP="00CA35F9">
            <w:pPr>
              <w:widowControl/>
              <w:rPr>
                <w:rFonts w:ascii="Times New Roman" w:eastAsia="標楷體" w:hAnsi="Times New Roman"/>
                <w:bCs/>
                <w:szCs w:val="24"/>
              </w:rPr>
            </w:pPr>
          </w:p>
        </w:tc>
        <w:tc>
          <w:tcPr>
            <w:tcW w:w="1312" w:type="dxa"/>
          </w:tcPr>
          <w:p w14:paraId="358AD154" w14:textId="77777777" w:rsidR="00FA1895" w:rsidRPr="007E1805" w:rsidRDefault="00FA1895" w:rsidP="00CA35F9">
            <w:pPr>
              <w:widowControl/>
              <w:jc w:val="center"/>
              <w:rPr>
                <w:rFonts w:ascii="Times New Roman" w:eastAsia="標楷體" w:hAnsi="Times New Roman"/>
                <w:bCs/>
                <w:szCs w:val="24"/>
              </w:rPr>
            </w:pPr>
            <w:r w:rsidRPr="007E1805">
              <w:rPr>
                <w:rFonts w:ascii="Times New Roman" w:eastAsia="標楷體" w:hAnsi="Times New Roman"/>
                <w:bCs/>
                <w:szCs w:val="24"/>
              </w:rPr>
              <w:t>2024</w:t>
            </w:r>
          </w:p>
        </w:tc>
        <w:tc>
          <w:tcPr>
            <w:tcW w:w="1360" w:type="dxa"/>
          </w:tcPr>
          <w:p w14:paraId="298D63F3" w14:textId="77777777" w:rsidR="00FA1895" w:rsidRPr="007E1805" w:rsidRDefault="00FA1895" w:rsidP="00CA35F9">
            <w:pPr>
              <w:widowControl/>
              <w:jc w:val="center"/>
              <w:rPr>
                <w:rFonts w:ascii="Times New Roman" w:eastAsia="標楷體" w:hAnsi="Times New Roman"/>
                <w:bCs/>
                <w:szCs w:val="24"/>
              </w:rPr>
            </w:pPr>
            <w:r w:rsidRPr="007E1805">
              <w:rPr>
                <w:rFonts w:ascii="Times New Roman" w:eastAsia="標楷體" w:hAnsi="Times New Roman"/>
                <w:bCs/>
                <w:szCs w:val="24"/>
              </w:rPr>
              <w:t>2023</w:t>
            </w:r>
          </w:p>
        </w:tc>
        <w:tc>
          <w:tcPr>
            <w:tcW w:w="1360" w:type="dxa"/>
          </w:tcPr>
          <w:p w14:paraId="3040325A" w14:textId="77777777" w:rsidR="00FA1895" w:rsidRPr="007E1805" w:rsidRDefault="00FA1895" w:rsidP="00CA35F9">
            <w:pPr>
              <w:widowControl/>
              <w:jc w:val="center"/>
              <w:rPr>
                <w:rFonts w:ascii="Times New Roman" w:eastAsia="標楷體" w:hAnsi="Times New Roman"/>
                <w:bCs/>
                <w:szCs w:val="24"/>
              </w:rPr>
            </w:pPr>
            <w:r w:rsidRPr="007E1805">
              <w:rPr>
                <w:rFonts w:ascii="Times New Roman" w:eastAsia="標楷體" w:hAnsi="Times New Roman"/>
                <w:bCs/>
                <w:szCs w:val="24"/>
              </w:rPr>
              <w:t>2022</w:t>
            </w:r>
          </w:p>
        </w:tc>
        <w:tc>
          <w:tcPr>
            <w:tcW w:w="1397" w:type="dxa"/>
            <w:shd w:val="clear" w:color="auto" w:fill="auto"/>
            <w:tcMar>
              <w:top w:w="72" w:type="dxa"/>
              <w:left w:w="144" w:type="dxa"/>
              <w:bottom w:w="72" w:type="dxa"/>
              <w:right w:w="144" w:type="dxa"/>
            </w:tcMar>
            <w:hideMark/>
          </w:tcPr>
          <w:p w14:paraId="29D86EB4" w14:textId="77777777" w:rsidR="00FA1895" w:rsidRPr="007E1805" w:rsidRDefault="00FA1895" w:rsidP="00CA35F9">
            <w:pPr>
              <w:widowControl/>
              <w:jc w:val="center"/>
              <w:rPr>
                <w:rFonts w:ascii="Times New Roman" w:eastAsia="標楷體" w:hAnsi="Times New Roman"/>
                <w:bCs/>
                <w:szCs w:val="24"/>
              </w:rPr>
            </w:pPr>
            <w:r w:rsidRPr="007E1805">
              <w:rPr>
                <w:rFonts w:ascii="Times New Roman" w:eastAsia="標楷體" w:hAnsi="Times New Roman"/>
                <w:bCs/>
                <w:szCs w:val="24"/>
              </w:rPr>
              <w:t>2021</w:t>
            </w:r>
          </w:p>
        </w:tc>
      </w:tr>
      <w:tr w:rsidR="00FA1895" w:rsidRPr="007E1805" w14:paraId="0BEB1351" w14:textId="77777777" w:rsidTr="00FA1895">
        <w:trPr>
          <w:trHeight w:val="192"/>
        </w:trPr>
        <w:tc>
          <w:tcPr>
            <w:tcW w:w="3644" w:type="dxa"/>
            <w:shd w:val="clear" w:color="auto" w:fill="auto"/>
            <w:tcMar>
              <w:top w:w="72" w:type="dxa"/>
              <w:left w:w="144" w:type="dxa"/>
              <w:bottom w:w="72" w:type="dxa"/>
              <w:right w:w="144" w:type="dxa"/>
            </w:tcMar>
            <w:hideMark/>
          </w:tcPr>
          <w:p w14:paraId="15772B77" w14:textId="77777777" w:rsidR="00FA1895" w:rsidRPr="007E1805" w:rsidRDefault="00FA1895" w:rsidP="00CA35F9">
            <w:pPr>
              <w:widowControl/>
              <w:rPr>
                <w:rFonts w:ascii="Times New Roman" w:eastAsia="標楷體" w:hAnsi="Times New Roman"/>
                <w:bCs/>
                <w:sz w:val="22"/>
                <w:szCs w:val="24"/>
              </w:rPr>
            </w:pPr>
            <w:r w:rsidRPr="007E1805">
              <w:rPr>
                <w:rFonts w:ascii="Times New Roman" w:eastAsia="標楷體" w:hAnsi="Times New Roman"/>
                <w:bCs/>
                <w:sz w:val="22"/>
                <w:szCs w:val="24"/>
              </w:rPr>
              <w:t>獨立董事信箱</w:t>
            </w:r>
            <w:r w:rsidRPr="007E1805">
              <w:rPr>
                <w:rFonts w:ascii="Times New Roman" w:eastAsia="標楷體" w:hAnsi="Times New Roman"/>
                <w:bCs/>
                <w:sz w:val="22"/>
                <w:szCs w:val="24"/>
              </w:rPr>
              <w:t xml:space="preserve"> (</w:t>
            </w:r>
            <w:r w:rsidRPr="007E1805">
              <w:rPr>
                <w:rFonts w:ascii="Times New Roman" w:eastAsia="標楷體" w:hAnsi="Times New Roman"/>
                <w:bCs/>
                <w:sz w:val="22"/>
                <w:szCs w:val="24"/>
              </w:rPr>
              <w:t>審計委員會</w:t>
            </w:r>
            <w:r w:rsidRPr="007E1805">
              <w:rPr>
                <w:rFonts w:ascii="Times New Roman" w:eastAsia="標楷體" w:hAnsi="Times New Roman"/>
                <w:bCs/>
                <w:sz w:val="22"/>
                <w:szCs w:val="24"/>
              </w:rPr>
              <w:t>)</w:t>
            </w:r>
          </w:p>
        </w:tc>
        <w:tc>
          <w:tcPr>
            <w:tcW w:w="1312" w:type="dxa"/>
          </w:tcPr>
          <w:p w14:paraId="17CB3618"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c>
          <w:tcPr>
            <w:tcW w:w="1360" w:type="dxa"/>
          </w:tcPr>
          <w:p w14:paraId="69E70398"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1</w:t>
            </w:r>
          </w:p>
        </w:tc>
        <w:tc>
          <w:tcPr>
            <w:tcW w:w="1360" w:type="dxa"/>
          </w:tcPr>
          <w:p w14:paraId="5E81C5FE"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c>
          <w:tcPr>
            <w:tcW w:w="1397" w:type="dxa"/>
            <w:shd w:val="clear" w:color="auto" w:fill="auto"/>
            <w:tcMar>
              <w:top w:w="72" w:type="dxa"/>
              <w:left w:w="144" w:type="dxa"/>
              <w:bottom w:w="72" w:type="dxa"/>
              <w:right w:w="144" w:type="dxa"/>
            </w:tcMar>
            <w:hideMark/>
          </w:tcPr>
          <w:p w14:paraId="33959111"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r>
      <w:tr w:rsidR="00FA1895" w:rsidRPr="007E1805" w14:paraId="52A22441" w14:textId="77777777" w:rsidTr="00FA1895">
        <w:trPr>
          <w:trHeight w:val="298"/>
        </w:trPr>
        <w:tc>
          <w:tcPr>
            <w:tcW w:w="3644" w:type="dxa"/>
            <w:shd w:val="clear" w:color="auto" w:fill="auto"/>
            <w:tcMar>
              <w:top w:w="72" w:type="dxa"/>
              <w:left w:w="144" w:type="dxa"/>
              <w:bottom w:w="72" w:type="dxa"/>
              <w:right w:w="144" w:type="dxa"/>
            </w:tcMar>
            <w:hideMark/>
          </w:tcPr>
          <w:p w14:paraId="5450D19B" w14:textId="77777777" w:rsidR="00FA1895" w:rsidRPr="007E1805" w:rsidRDefault="00FA1895" w:rsidP="00CA35F9">
            <w:pPr>
              <w:widowControl/>
              <w:rPr>
                <w:rFonts w:ascii="Times New Roman" w:eastAsia="標楷體" w:hAnsi="Times New Roman"/>
                <w:bCs/>
                <w:sz w:val="22"/>
                <w:szCs w:val="24"/>
              </w:rPr>
            </w:pPr>
            <w:r w:rsidRPr="007E1805">
              <w:rPr>
                <w:rFonts w:ascii="Times New Roman" w:eastAsia="標楷體" w:hAnsi="Times New Roman"/>
                <w:bCs/>
                <w:sz w:val="22"/>
                <w:szCs w:val="24"/>
              </w:rPr>
              <w:t>從業道德舉報系統</w:t>
            </w:r>
          </w:p>
        </w:tc>
        <w:tc>
          <w:tcPr>
            <w:tcW w:w="1312" w:type="dxa"/>
          </w:tcPr>
          <w:p w14:paraId="3B861694"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c>
          <w:tcPr>
            <w:tcW w:w="1360" w:type="dxa"/>
          </w:tcPr>
          <w:p w14:paraId="221CFB7E"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c>
          <w:tcPr>
            <w:tcW w:w="1360" w:type="dxa"/>
          </w:tcPr>
          <w:p w14:paraId="4CE8CE70"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c>
          <w:tcPr>
            <w:tcW w:w="1397" w:type="dxa"/>
            <w:shd w:val="clear" w:color="auto" w:fill="auto"/>
            <w:tcMar>
              <w:top w:w="72" w:type="dxa"/>
              <w:left w:w="144" w:type="dxa"/>
              <w:bottom w:w="72" w:type="dxa"/>
              <w:right w:w="144" w:type="dxa"/>
            </w:tcMar>
            <w:hideMark/>
          </w:tcPr>
          <w:p w14:paraId="1A448B56"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r>
      <w:tr w:rsidR="00FA1895" w:rsidRPr="007E1805" w14:paraId="1D9E452E" w14:textId="77777777" w:rsidTr="00FA1895">
        <w:trPr>
          <w:trHeight w:val="248"/>
        </w:trPr>
        <w:tc>
          <w:tcPr>
            <w:tcW w:w="3644" w:type="dxa"/>
            <w:shd w:val="clear" w:color="auto" w:fill="auto"/>
            <w:tcMar>
              <w:top w:w="72" w:type="dxa"/>
              <w:left w:w="144" w:type="dxa"/>
              <w:bottom w:w="72" w:type="dxa"/>
              <w:right w:w="144" w:type="dxa"/>
            </w:tcMar>
            <w:hideMark/>
          </w:tcPr>
          <w:p w14:paraId="3155AC6D" w14:textId="77777777" w:rsidR="00FA1895" w:rsidRPr="007E1805" w:rsidRDefault="00FA1895" w:rsidP="00CA35F9">
            <w:pPr>
              <w:widowControl/>
              <w:rPr>
                <w:rFonts w:ascii="Times New Roman" w:eastAsia="標楷體" w:hAnsi="Times New Roman"/>
                <w:bCs/>
                <w:sz w:val="22"/>
                <w:szCs w:val="24"/>
              </w:rPr>
            </w:pPr>
            <w:r w:rsidRPr="007E1805">
              <w:rPr>
                <w:rFonts w:ascii="Times New Roman" w:eastAsia="標楷體" w:hAnsi="Times New Roman"/>
                <w:bCs/>
                <w:sz w:val="22"/>
                <w:szCs w:val="24"/>
              </w:rPr>
              <w:t>其他舉報管道</w:t>
            </w:r>
          </w:p>
        </w:tc>
        <w:tc>
          <w:tcPr>
            <w:tcW w:w="1312" w:type="dxa"/>
          </w:tcPr>
          <w:p w14:paraId="3EC4B122"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2</w:t>
            </w:r>
          </w:p>
        </w:tc>
        <w:tc>
          <w:tcPr>
            <w:tcW w:w="1360" w:type="dxa"/>
          </w:tcPr>
          <w:p w14:paraId="1ACC2F88"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c>
          <w:tcPr>
            <w:tcW w:w="1360" w:type="dxa"/>
          </w:tcPr>
          <w:p w14:paraId="26484781"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c>
          <w:tcPr>
            <w:tcW w:w="1397" w:type="dxa"/>
            <w:shd w:val="clear" w:color="auto" w:fill="auto"/>
            <w:tcMar>
              <w:top w:w="72" w:type="dxa"/>
              <w:left w:w="144" w:type="dxa"/>
              <w:bottom w:w="72" w:type="dxa"/>
              <w:right w:w="144" w:type="dxa"/>
            </w:tcMar>
            <w:hideMark/>
          </w:tcPr>
          <w:p w14:paraId="3DEBE433"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r>
      <w:tr w:rsidR="00FA1895" w:rsidRPr="007E1805" w14:paraId="47C7583E" w14:textId="77777777" w:rsidTr="00FA1895">
        <w:trPr>
          <w:trHeight w:val="353"/>
        </w:trPr>
        <w:tc>
          <w:tcPr>
            <w:tcW w:w="3644" w:type="dxa"/>
            <w:shd w:val="clear" w:color="auto" w:fill="auto"/>
            <w:tcMar>
              <w:top w:w="72" w:type="dxa"/>
              <w:left w:w="144" w:type="dxa"/>
              <w:bottom w:w="72" w:type="dxa"/>
              <w:right w:w="144" w:type="dxa"/>
            </w:tcMar>
            <w:hideMark/>
          </w:tcPr>
          <w:p w14:paraId="5BD0C895" w14:textId="77777777" w:rsidR="00FA1895" w:rsidRPr="007E1805" w:rsidRDefault="00FA1895" w:rsidP="00CA35F9">
            <w:pPr>
              <w:widowControl/>
              <w:rPr>
                <w:rFonts w:ascii="Times New Roman" w:eastAsia="標楷體" w:hAnsi="Times New Roman"/>
                <w:bCs/>
                <w:sz w:val="22"/>
                <w:szCs w:val="24"/>
              </w:rPr>
            </w:pPr>
            <w:r w:rsidRPr="007E1805">
              <w:rPr>
                <w:rFonts w:ascii="Times New Roman" w:eastAsia="標楷體" w:hAnsi="Times New Roman"/>
                <w:bCs/>
                <w:sz w:val="22"/>
                <w:szCs w:val="24"/>
              </w:rPr>
              <w:t>員工重大申訴</w:t>
            </w:r>
          </w:p>
        </w:tc>
        <w:tc>
          <w:tcPr>
            <w:tcW w:w="1312" w:type="dxa"/>
          </w:tcPr>
          <w:p w14:paraId="73ABD1EB"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1(</w:t>
            </w:r>
            <w:r w:rsidRPr="007E1805">
              <w:rPr>
                <w:rFonts w:ascii="Times New Roman" w:eastAsia="標楷體" w:hAnsi="Times New Roman"/>
                <w:bCs/>
                <w:sz w:val="22"/>
              </w:rPr>
              <w:t>註</w:t>
            </w:r>
            <w:r w:rsidRPr="007E1805">
              <w:rPr>
                <w:rFonts w:ascii="Times New Roman" w:eastAsia="標楷體" w:hAnsi="Times New Roman"/>
                <w:bCs/>
                <w:sz w:val="22"/>
              </w:rPr>
              <w:t>1)</w:t>
            </w:r>
          </w:p>
        </w:tc>
        <w:tc>
          <w:tcPr>
            <w:tcW w:w="1360" w:type="dxa"/>
          </w:tcPr>
          <w:p w14:paraId="21A123C0"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2</w:t>
            </w:r>
          </w:p>
        </w:tc>
        <w:tc>
          <w:tcPr>
            <w:tcW w:w="1360" w:type="dxa"/>
          </w:tcPr>
          <w:p w14:paraId="3DE54E7F"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4</w:t>
            </w:r>
          </w:p>
        </w:tc>
        <w:tc>
          <w:tcPr>
            <w:tcW w:w="1397" w:type="dxa"/>
            <w:shd w:val="clear" w:color="auto" w:fill="auto"/>
            <w:tcMar>
              <w:top w:w="72" w:type="dxa"/>
              <w:left w:w="144" w:type="dxa"/>
              <w:bottom w:w="72" w:type="dxa"/>
              <w:right w:w="144" w:type="dxa"/>
            </w:tcMar>
            <w:hideMark/>
          </w:tcPr>
          <w:p w14:paraId="21013E7F"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2</w:t>
            </w:r>
          </w:p>
        </w:tc>
      </w:tr>
      <w:tr w:rsidR="00FA1895" w:rsidRPr="007E1805" w14:paraId="78A3AF38" w14:textId="77777777" w:rsidTr="00FA1895">
        <w:trPr>
          <w:trHeight w:val="225"/>
        </w:trPr>
        <w:tc>
          <w:tcPr>
            <w:tcW w:w="3644" w:type="dxa"/>
            <w:shd w:val="clear" w:color="auto" w:fill="auto"/>
            <w:tcMar>
              <w:top w:w="72" w:type="dxa"/>
              <w:left w:w="144" w:type="dxa"/>
              <w:bottom w:w="72" w:type="dxa"/>
              <w:right w:w="144" w:type="dxa"/>
            </w:tcMar>
            <w:hideMark/>
          </w:tcPr>
          <w:p w14:paraId="45910EA7" w14:textId="77777777" w:rsidR="00FA1895" w:rsidRPr="007E1805" w:rsidRDefault="00FA1895" w:rsidP="00CA35F9">
            <w:pPr>
              <w:widowControl/>
              <w:rPr>
                <w:rFonts w:ascii="Times New Roman" w:eastAsia="標楷體" w:hAnsi="Times New Roman"/>
                <w:bCs/>
                <w:sz w:val="22"/>
                <w:szCs w:val="24"/>
              </w:rPr>
            </w:pPr>
            <w:r w:rsidRPr="007E1805">
              <w:rPr>
                <w:rFonts w:ascii="Times New Roman" w:eastAsia="標楷體" w:hAnsi="Times New Roman"/>
                <w:bCs/>
                <w:sz w:val="22"/>
                <w:szCs w:val="24"/>
              </w:rPr>
              <w:t>性騷擾及不法侵害申訴</w:t>
            </w:r>
          </w:p>
        </w:tc>
        <w:tc>
          <w:tcPr>
            <w:tcW w:w="1312" w:type="dxa"/>
          </w:tcPr>
          <w:p w14:paraId="68EBE51F"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c>
          <w:tcPr>
            <w:tcW w:w="1360" w:type="dxa"/>
          </w:tcPr>
          <w:p w14:paraId="3CC1C8E7"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c>
          <w:tcPr>
            <w:tcW w:w="1360" w:type="dxa"/>
            <w:shd w:val="clear" w:color="auto" w:fill="auto"/>
          </w:tcPr>
          <w:p w14:paraId="71451C4F"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c>
          <w:tcPr>
            <w:tcW w:w="1397" w:type="dxa"/>
            <w:shd w:val="clear" w:color="auto" w:fill="auto"/>
            <w:tcMar>
              <w:top w:w="72" w:type="dxa"/>
              <w:left w:w="144" w:type="dxa"/>
              <w:bottom w:w="72" w:type="dxa"/>
              <w:right w:w="144" w:type="dxa"/>
            </w:tcMar>
            <w:hideMark/>
          </w:tcPr>
          <w:p w14:paraId="035BED1A" w14:textId="77777777" w:rsidR="00FA1895" w:rsidRPr="007E1805" w:rsidRDefault="00FA1895" w:rsidP="00CA35F9">
            <w:pPr>
              <w:widowControl/>
              <w:jc w:val="center"/>
              <w:rPr>
                <w:rFonts w:ascii="Times New Roman" w:eastAsia="標楷體" w:hAnsi="Times New Roman"/>
                <w:bCs/>
                <w:sz w:val="22"/>
              </w:rPr>
            </w:pPr>
            <w:r w:rsidRPr="007E1805">
              <w:rPr>
                <w:rFonts w:ascii="Times New Roman" w:eastAsia="標楷體" w:hAnsi="Times New Roman"/>
                <w:bCs/>
                <w:sz w:val="22"/>
              </w:rPr>
              <w:t>0</w:t>
            </w:r>
          </w:p>
        </w:tc>
      </w:tr>
      <w:tr w:rsidR="00FA1895" w:rsidRPr="007E1805" w14:paraId="3251D179" w14:textId="77777777" w:rsidTr="00FA1895">
        <w:trPr>
          <w:trHeight w:val="225"/>
        </w:trPr>
        <w:tc>
          <w:tcPr>
            <w:tcW w:w="3644" w:type="dxa"/>
            <w:shd w:val="clear" w:color="auto" w:fill="auto"/>
            <w:tcMar>
              <w:top w:w="72" w:type="dxa"/>
              <w:left w:w="144" w:type="dxa"/>
              <w:bottom w:w="72" w:type="dxa"/>
              <w:right w:w="144" w:type="dxa"/>
            </w:tcMar>
          </w:tcPr>
          <w:p w14:paraId="3A860110" w14:textId="77777777" w:rsidR="00FA1895" w:rsidRPr="007E1805" w:rsidRDefault="00FA1895" w:rsidP="00CA35F9">
            <w:pPr>
              <w:widowControl/>
              <w:rPr>
                <w:rFonts w:ascii="Times New Roman" w:eastAsia="標楷體" w:hAnsi="Times New Roman"/>
                <w:b/>
                <w:bCs/>
                <w:szCs w:val="24"/>
              </w:rPr>
            </w:pPr>
            <w:r w:rsidRPr="007E1805">
              <w:rPr>
                <w:rFonts w:ascii="Times New Roman" w:eastAsia="標楷體" w:hAnsi="Times New Roman"/>
                <w:b/>
                <w:bCs/>
                <w:szCs w:val="24"/>
              </w:rPr>
              <w:t>經調查成立之案件</w:t>
            </w:r>
          </w:p>
        </w:tc>
        <w:tc>
          <w:tcPr>
            <w:tcW w:w="1312" w:type="dxa"/>
          </w:tcPr>
          <w:p w14:paraId="41E39742" w14:textId="77777777" w:rsidR="00FA1895" w:rsidRPr="007E1805" w:rsidRDefault="00FA1895" w:rsidP="00CA35F9">
            <w:pPr>
              <w:widowControl/>
              <w:jc w:val="center"/>
              <w:rPr>
                <w:rFonts w:ascii="Times New Roman" w:eastAsia="標楷體" w:hAnsi="Times New Roman"/>
                <w:b/>
                <w:bCs/>
                <w:szCs w:val="24"/>
              </w:rPr>
            </w:pPr>
            <w:r w:rsidRPr="007E1805">
              <w:rPr>
                <w:rFonts w:ascii="Times New Roman" w:eastAsia="標楷體" w:hAnsi="Times New Roman"/>
                <w:b/>
                <w:bCs/>
                <w:szCs w:val="24"/>
              </w:rPr>
              <w:t>2(</w:t>
            </w:r>
            <w:r w:rsidRPr="007E1805">
              <w:rPr>
                <w:rFonts w:ascii="Times New Roman" w:eastAsia="標楷體" w:hAnsi="Times New Roman"/>
                <w:b/>
                <w:bCs/>
                <w:szCs w:val="24"/>
              </w:rPr>
              <w:t>註</w:t>
            </w:r>
            <w:r w:rsidRPr="007E1805">
              <w:rPr>
                <w:rFonts w:ascii="Times New Roman" w:eastAsia="標楷體" w:hAnsi="Times New Roman"/>
                <w:b/>
                <w:bCs/>
                <w:szCs w:val="24"/>
              </w:rPr>
              <w:t>2)</w:t>
            </w:r>
          </w:p>
        </w:tc>
        <w:tc>
          <w:tcPr>
            <w:tcW w:w="1360" w:type="dxa"/>
          </w:tcPr>
          <w:p w14:paraId="532E8DA7" w14:textId="77777777" w:rsidR="00FA1895" w:rsidRPr="007E1805" w:rsidRDefault="00FA1895" w:rsidP="00CA35F9">
            <w:pPr>
              <w:widowControl/>
              <w:jc w:val="center"/>
              <w:rPr>
                <w:rFonts w:ascii="Times New Roman" w:eastAsia="標楷體" w:hAnsi="Times New Roman"/>
                <w:b/>
                <w:bCs/>
                <w:szCs w:val="24"/>
              </w:rPr>
            </w:pPr>
            <w:r w:rsidRPr="007E1805">
              <w:rPr>
                <w:rFonts w:ascii="Times New Roman" w:eastAsia="標楷體" w:hAnsi="Times New Roman"/>
                <w:b/>
                <w:bCs/>
                <w:szCs w:val="24"/>
              </w:rPr>
              <w:t>0</w:t>
            </w:r>
          </w:p>
        </w:tc>
        <w:tc>
          <w:tcPr>
            <w:tcW w:w="1360" w:type="dxa"/>
            <w:shd w:val="clear" w:color="auto" w:fill="auto"/>
          </w:tcPr>
          <w:p w14:paraId="3BFD0EDE" w14:textId="77777777" w:rsidR="00FA1895" w:rsidRPr="007E1805" w:rsidRDefault="00FA1895" w:rsidP="00CA35F9">
            <w:pPr>
              <w:widowControl/>
              <w:jc w:val="center"/>
              <w:rPr>
                <w:rFonts w:ascii="Times New Roman" w:eastAsia="標楷體" w:hAnsi="Times New Roman"/>
                <w:b/>
                <w:bCs/>
                <w:szCs w:val="24"/>
              </w:rPr>
            </w:pPr>
            <w:r w:rsidRPr="007E1805">
              <w:rPr>
                <w:rFonts w:ascii="Times New Roman" w:eastAsia="標楷體" w:hAnsi="Times New Roman"/>
                <w:b/>
                <w:bCs/>
                <w:szCs w:val="24"/>
              </w:rPr>
              <w:t>0</w:t>
            </w:r>
          </w:p>
        </w:tc>
        <w:tc>
          <w:tcPr>
            <w:tcW w:w="1397" w:type="dxa"/>
            <w:shd w:val="clear" w:color="auto" w:fill="auto"/>
            <w:tcMar>
              <w:top w:w="72" w:type="dxa"/>
              <w:left w:w="144" w:type="dxa"/>
              <w:bottom w:w="72" w:type="dxa"/>
              <w:right w:w="144" w:type="dxa"/>
            </w:tcMar>
          </w:tcPr>
          <w:p w14:paraId="76303442" w14:textId="77777777" w:rsidR="00FA1895" w:rsidRPr="007E1805" w:rsidRDefault="00FA1895" w:rsidP="00CA35F9">
            <w:pPr>
              <w:widowControl/>
              <w:jc w:val="center"/>
              <w:rPr>
                <w:rFonts w:ascii="Times New Roman" w:eastAsia="標楷體" w:hAnsi="Times New Roman"/>
                <w:b/>
                <w:bCs/>
                <w:szCs w:val="24"/>
              </w:rPr>
            </w:pPr>
            <w:r w:rsidRPr="007E1805">
              <w:rPr>
                <w:rFonts w:ascii="Times New Roman" w:eastAsia="標楷體" w:hAnsi="Times New Roman"/>
                <w:b/>
                <w:bCs/>
                <w:szCs w:val="24"/>
              </w:rPr>
              <w:t>2</w:t>
            </w:r>
          </w:p>
        </w:tc>
      </w:tr>
    </w:tbl>
    <w:p w14:paraId="0CFDD08C" w14:textId="77777777" w:rsidR="00B72BE4" w:rsidRPr="00B72BE4" w:rsidRDefault="00B72BE4" w:rsidP="00B72BE4">
      <w:pPr>
        <w:spacing w:line="276" w:lineRule="auto"/>
        <w:rPr>
          <w:sz w:val="28"/>
          <w:szCs w:val="24"/>
        </w:rPr>
      </w:pPr>
      <w:r w:rsidRPr="00B72BE4">
        <w:rPr>
          <w:rFonts w:hint="eastAsia"/>
          <w:sz w:val="28"/>
          <w:szCs w:val="24"/>
        </w:rPr>
        <w:t>註一：透過一般郵件方式匿名舉報，調查結果為檢舉內容並非事實。</w:t>
      </w:r>
    </w:p>
    <w:p w14:paraId="00363725" w14:textId="77777777" w:rsidR="00B72BE4" w:rsidRPr="00B72BE4" w:rsidRDefault="00B72BE4" w:rsidP="00B72BE4">
      <w:pPr>
        <w:spacing w:line="276" w:lineRule="auto"/>
        <w:rPr>
          <w:sz w:val="28"/>
          <w:szCs w:val="24"/>
        </w:rPr>
      </w:pPr>
      <w:r w:rsidRPr="00B72BE4">
        <w:rPr>
          <w:rFonts w:hint="eastAsia"/>
          <w:sz w:val="28"/>
          <w:szCs w:val="24"/>
        </w:rPr>
        <w:t>註二：由於申訴人拒絕參與調查活動，調查小組無法展開任何程序與調查以釐清申訴內容，予以結案。</w:t>
      </w:r>
    </w:p>
    <w:p w14:paraId="7C798E1B" w14:textId="623346E5" w:rsidR="00B72BE4" w:rsidRDefault="00B72BE4" w:rsidP="00B72BE4">
      <w:pPr>
        <w:spacing w:line="276" w:lineRule="auto"/>
        <w:rPr>
          <w:sz w:val="28"/>
          <w:szCs w:val="24"/>
        </w:rPr>
      </w:pPr>
      <w:r w:rsidRPr="00B72BE4">
        <w:rPr>
          <w:rFonts w:hint="eastAsia"/>
          <w:sz w:val="28"/>
          <w:szCs w:val="24"/>
        </w:rPr>
        <w:t>註三：該申訴為生活方便性議題，非重大申訴案。</w:t>
      </w:r>
    </w:p>
    <w:p w14:paraId="64339E33" w14:textId="2B48F0A8" w:rsidR="00B72BE4" w:rsidRDefault="00B72BE4" w:rsidP="00B72BE4">
      <w:pPr>
        <w:spacing w:line="360" w:lineRule="auto"/>
        <w:rPr>
          <w:sz w:val="28"/>
          <w:szCs w:val="24"/>
        </w:rPr>
      </w:pPr>
    </w:p>
    <w:p w14:paraId="32C473A4" w14:textId="77777777" w:rsidR="00B72BE4" w:rsidRPr="00B72BE4" w:rsidRDefault="00B72BE4" w:rsidP="00B72BE4">
      <w:pPr>
        <w:spacing w:line="360" w:lineRule="auto"/>
        <w:rPr>
          <w:sz w:val="28"/>
          <w:szCs w:val="24"/>
        </w:rPr>
      </w:pPr>
      <w:r w:rsidRPr="00B72BE4">
        <w:rPr>
          <w:rFonts w:hint="eastAsia"/>
          <w:sz w:val="28"/>
          <w:szCs w:val="24"/>
        </w:rPr>
        <w:t>本公司「誠信經營作業程序暨從業道德規範」，具體規範執行業務應注意事項及嚴格禁止本公司人員利用所知悉之未公開信息從事內線交易，亦不得洩露予他人，以防止他人利用該未公開信息從事內線交易。而對營業範圍內具較高不誠信行為風險之營業活動，禁止提供或收受不正當利益與禁止疏通費及處置及不提供政治獻金等措施，</w:t>
      </w:r>
      <w:r w:rsidRPr="00B72BE4">
        <w:rPr>
          <w:rFonts w:hint="eastAsia"/>
          <w:sz w:val="28"/>
          <w:szCs w:val="24"/>
        </w:rPr>
        <w:t xml:space="preserve"> </w:t>
      </w:r>
      <w:r w:rsidRPr="00B72BE4">
        <w:rPr>
          <w:rFonts w:hint="eastAsia"/>
          <w:sz w:val="28"/>
          <w:szCs w:val="24"/>
        </w:rPr>
        <w:t>並同時要求所有供貨商簽署《創意電子第三方從業道德規範承諾函》，以為聲明保證。</w:t>
      </w:r>
    </w:p>
    <w:p w14:paraId="359531B8" w14:textId="77777777" w:rsidR="00B72BE4" w:rsidRPr="00B72BE4" w:rsidRDefault="00B72BE4" w:rsidP="00B72BE4">
      <w:pPr>
        <w:spacing w:line="360" w:lineRule="auto"/>
        <w:rPr>
          <w:sz w:val="28"/>
          <w:szCs w:val="24"/>
        </w:rPr>
      </w:pPr>
    </w:p>
    <w:p w14:paraId="2845269D" w14:textId="37A14333" w:rsidR="00B72BE4" w:rsidRPr="00B72BE4" w:rsidRDefault="00B72BE4" w:rsidP="00B72BE4">
      <w:pPr>
        <w:spacing w:line="360" w:lineRule="auto"/>
        <w:rPr>
          <w:sz w:val="28"/>
          <w:szCs w:val="24"/>
        </w:rPr>
      </w:pPr>
      <w:r w:rsidRPr="00B72BE4">
        <w:rPr>
          <w:rFonts w:hint="eastAsia"/>
          <w:sz w:val="28"/>
          <w:szCs w:val="24"/>
        </w:rPr>
        <w:t>為落實公司所有人能遵循此規範，本公司每年至少一次對經理人與所有員工舉辦誠信經營相關之教育訓練；對新任受僱者則由新人訓練時予以訓練宣導。</w:t>
      </w:r>
      <w:r w:rsidRPr="00B72BE4">
        <w:rPr>
          <w:rFonts w:hint="eastAsia"/>
          <w:sz w:val="28"/>
          <w:szCs w:val="24"/>
        </w:rPr>
        <w:t>113</w:t>
      </w:r>
      <w:r w:rsidRPr="00B72BE4">
        <w:rPr>
          <w:rFonts w:hint="eastAsia"/>
          <w:sz w:val="28"/>
          <w:szCs w:val="24"/>
        </w:rPr>
        <w:t>年已於</w:t>
      </w:r>
      <w:r w:rsidRPr="00B72BE4">
        <w:rPr>
          <w:rFonts w:hint="eastAsia"/>
          <w:sz w:val="28"/>
          <w:szCs w:val="24"/>
        </w:rPr>
        <w:t>10</w:t>
      </w:r>
      <w:r w:rsidRPr="00B72BE4">
        <w:rPr>
          <w:rFonts w:hint="eastAsia"/>
          <w:sz w:val="28"/>
          <w:szCs w:val="24"/>
        </w:rPr>
        <w:t>月對經理人與所有員工舉辦誠信經營相關之教育訓練，課程內容含重大訊息之機密資訊保護、誠信經營作業程序、從業道德規範、禁止內線交易以及責任商業聯盟行為守則等線上課程，</w:t>
      </w:r>
      <w:r w:rsidRPr="00B72BE4">
        <w:rPr>
          <w:rFonts w:hint="eastAsia"/>
          <w:sz w:val="28"/>
          <w:szCs w:val="24"/>
        </w:rPr>
        <w:t xml:space="preserve"> </w:t>
      </w:r>
      <w:r w:rsidRPr="00B72BE4">
        <w:rPr>
          <w:rFonts w:hint="eastAsia"/>
          <w:sz w:val="28"/>
          <w:szCs w:val="24"/>
        </w:rPr>
        <w:t>應訓</w:t>
      </w:r>
      <w:r w:rsidRPr="00B72BE4">
        <w:rPr>
          <w:rFonts w:hint="eastAsia"/>
          <w:sz w:val="28"/>
          <w:szCs w:val="24"/>
        </w:rPr>
        <w:t>839</w:t>
      </w:r>
      <w:r w:rsidRPr="00B72BE4">
        <w:rPr>
          <w:rFonts w:hint="eastAsia"/>
          <w:sz w:val="28"/>
          <w:szCs w:val="24"/>
        </w:rPr>
        <w:t>人，完成</w:t>
      </w:r>
      <w:r w:rsidRPr="00B72BE4">
        <w:rPr>
          <w:rFonts w:hint="eastAsia"/>
          <w:sz w:val="28"/>
          <w:szCs w:val="24"/>
        </w:rPr>
        <w:t>839</w:t>
      </w:r>
      <w:r w:rsidRPr="00B72BE4">
        <w:rPr>
          <w:rFonts w:hint="eastAsia"/>
          <w:sz w:val="28"/>
          <w:szCs w:val="24"/>
        </w:rPr>
        <w:t>人，合計</w:t>
      </w:r>
      <w:r w:rsidRPr="00B72BE4">
        <w:rPr>
          <w:rFonts w:hint="eastAsia"/>
          <w:sz w:val="28"/>
          <w:szCs w:val="24"/>
        </w:rPr>
        <w:t>548.1</w:t>
      </w:r>
      <w:r w:rsidRPr="00B72BE4">
        <w:rPr>
          <w:rFonts w:hint="eastAsia"/>
          <w:sz w:val="28"/>
          <w:szCs w:val="24"/>
        </w:rPr>
        <w:t>學習小時。課程檔案亦置於內部教育訓練平台，提供同仁參考</w:t>
      </w:r>
      <w:r w:rsidRPr="00B72BE4">
        <w:rPr>
          <w:rFonts w:hint="eastAsia"/>
          <w:sz w:val="28"/>
          <w:szCs w:val="24"/>
        </w:rPr>
        <w:t xml:space="preserve">; </w:t>
      </w:r>
      <w:r w:rsidRPr="00B72BE4">
        <w:rPr>
          <w:rFonts w:hint="eastAsia"/>
          <w:sz w:val="28"/>
          <w:szCs w:val="24"/>
        </w:rPr>
        <w:t>另，</w:t>
      </w:r>
      <w:r w:rsidRPr="00B72BE4">
        <w:rPr>
          <w:rFonts w:hint="eastAsia"/>
          <w:sz w:val="28"/>
          <w:szCs w:val="24"/>
        </w:rPr>
        <w:t>113</w:t>
      </w:r>
      <w:r w:rsidRPr="00B72BE4">
        <w:rPr>
          <w:rFonts w:hint="eastAsia"/>
          <w:sz w:val="28"/>
          <w:szCs w:val="24"/>
        </w:rPr>
        <w:t>年針對本公司董事另提供從業道德規範之線上課程，</w:t>
      </w:r>
      <w:r w:rsidRPr="00B72BE4">
        <w:rPr>
          <w:rFonts w:hint="eastAsia"/>
          <w:sz w:val="28"/>
          <w:szCs w:val="24"/>
        </w:rPr>
        <w:t xml:space="preserve"> </w:t>
      </w:r>
      <w:r w:rsidRPr="00B72BE4">
        <w:rPr>
          <w:rFonts w:hint="eastAsia"/>
          <w:sz w:val="28"/>
          <w:szCs w:val="24"/>
        </w:rPr>
        <w:t>課程內容包括內線交易之相關規定，</w:t>
      </w:r>
      <w:r w:rsidRPr="00B72BE4">
        <w:rPr>
          <w:rFonts w:hint="eastAsia"/>
          <w:sz w:val="28"/>
          <w:szCs w:val="24"/>
        </w:rPr>
        <w:t xml:space="preserve"> </w:t>
      </w:r>
      <w:r w:rsidRPr="00B72BE4">
        <w:rPr>
          <w:rFonts w:hint="eastAsia"/>
          <w:sz w:val="28"/>
          <w:szCs w:val="24"/>
        </w:rPr>
        <w:t>應訓</w:t>
      </w:r>
      <w:r w:rsidRPr="00B72BE4">
        <w:rPr>
          <w:rFonts w:hint="eastAsia"/>
          <w:sz w:val="28"/>
          <w:szCs w:val="24"/>
        </w:rPr>
        <w:t>8</w:t>
      </w:r>
      <w:r w:rsidRPr="00B72BE4">
        <w:rPr>
          <w:rFonts w:hint="eastAsia"/>
          <w:sz w:val="28"/>
          <w:szCs w:val="24"/>
        </w:rPr>
        <w:t>人，</w:t>
      </w:r>
      <w:r w:rsidRPr="00B72BE4">
        <w:rPr>
          <w:rFonts w:hint="eastAsia"/>
          <w:sz w:val="28"/>
          <w:szCs w:val="24"/>
        </w:rPr>
        <w:t xml:space="preserve"> </w:t>
      </w:r>
      <w:r w:rsidRPr="00B72BE4">
        <w:rPr>
          <w:rFonts w:hint="eastAsia"/>
          <w:sz w:val="28"/>
          <w:szCs w:val="24"/>
        </w:rPr>
        <w:t>完成</w:t>
      </w:r>
      <w:r w:rsidRPr="00B72BE4">
        <w:rPr>
          <w:rFonts w:hint="eastAsia"/>
          <w:sz w:val="28"/>
          <w:szCs w:val="24"/>
        </w:rPr>
        <w:t>8</w:t>
      </w:r>
      <w:r w:rsidRPr="00B72BE4">
        <w:rPr>
          <w:rFonts w:hint="eastAsia"/>
          <w:sz w:val="28"/>
          <w:szCs w:val="24"/>
        </w:rPr>
        <w:t>人。同時本公司設有</w:t>
      </w:r>
      <w:commentRangeStart w:id="0"/>
      <w:r w:rsidRPr="00B72BE4">
        <w:rPr>
          <w:rFonts w:hint="eastAsia"/>
          <w:b/>
          <w:bCs/>
          <w:sz w:val="28"/>
          <w:szCs w:val="24"/>
          <w:highlight w:val="yellow"/>
          <w:u w:val="single"/>
        </w:rPr>
        <w:t>違反從業道德行為舉報系統專區</w:t>
      </w:r>
      <w:commentRangeEnd w:id="0"/>
      <w:r>
        <w:rPr>
          <w:rStyle w:val="a8"/>
        </w:rPr>
        <w:commentReference w:id="0"/>
      </w:r>
      <w:r w:rsidRPr="00B72BE4">
        <w:rPr>
          <w:rFonts w:hint="eastAsia"/>
          <w:sz w:val="28"/>
          <w:szCs w:val="24"/>
        </w:rPr>
        <w:t>，供公司內部員工及外部人員使用，以導正從業人員依章行事，以維護公司紀律及股東權益。</w:t>
      </w:r>
    </w:p>
    <w:sectPr w:rsidR="00B72BE4" w:rsidRPr="00B72BE4" w:rsidSect="00FA1895">
      <w:pgSz w:w="11906" w:h="16838" w:code="9"/>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laire.peng@globalunichip.com" w:date="2025-01-14T13:20:00Z" w:initials="c">
    <w:p w14:paraId="4808B3CF" w14:textId="2C7CB76D" w:rsidR="00B72BE4" w:rsidRDefault="00B72BE4">
      <w:pPr>
        <w:pStyle w:val="a9"/>
      </w:pPr>
      <w:r>
        <w:rPr>
          <w:rStyle w:val="a8"/>
        </w:rPr>
        <w:annotationRef/>
      </w:r>
      <w:r>
        <w:rPr>
          <w:rFonts w:hint="eastAsia"/>
        </w:rPr>
        <w:t>連結到網站</w:t>
      </w:r>
      <w:r>
        <w:rPr>
          <w:rFonts w:hint="eastAsia"/>
        </w:rPr>
        <w:t>:</w:t>
      </w:r>
      <w:r>
        <w:t xml:space="preserve"> </w:t>
      </w:r>
      <w:r w:rsidRPr="00B72BE4">
        <w:t>https://www1.guc-asic.com:8443/guc/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08B3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30E30B" w16cex:dateUtc="2025-01-14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08B3CF" w16cid:durableId="2B30E3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6B43E" w14:textId="77777777" w:rsidR="00B72BE4" w:rsidRDefault="00B72BE4" w:rsidP="00B72BE4">
      <w:r>
        <w:separator/>
      </w:r>
    </w:p>
  </w:endnote>
  <w:endnote w:type="continuationSeparator" w:id="0">
    <w:p w14:paraId="50D1E4DD" w14:textId="77777777" w:rsidR="00B72BE4" w:rsidRDefault="00B72BE4" w:rsidP="00B7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186D" w14:textId="77777777" w:rsidR="00B72BE4" w:rsidRDefault="00B72BE4" w:rsidP="00B72BE4">
      <w:r>
        <w:separator/>
      </w:r>
    </w:p>
  </w:footnote>
  <w:footnote w:type="continuationSeparator" w:id="0">
    <w:p w14:paraId="4C3ECE69" w14:textId="77777777" w:rsidR="00B72BE4" w:rsidRDefault="00B72BE4" w:rsidP="00B72BE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peng@globalunichip.com">
    <w15:presenceInfo w15:providerId="AD" w15:userId="S-1-5-21-1619012857-1639668828-623647154-2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84"/>
    <w:rsid w:val="00110F17"/>
    <w:rsid w:val="00725EE9"/>
    <w:rsid w:val="009C2A84"/>
    <w:rsid w:val="00B72BE4"/>
    <w:rsid w:val="00FA18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C88A"/>
  <w15:chartTrackingRefBased/>
  <w15:docId w15:val="{98CB74E9-4602-491C-99E1-A027F869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BE4"/>
    <w:pPr>
      <w:tabs>
        <w:tab w:val="center" w:pos="4153"/>
        <w:tab w:val="right" w:pos="8306"/>
      </w:tabs>
      <w:snapToGrid w:val="0"/>
    </w:pPr>
    <w:rPr>
      <w:sz w:val="20"/>
      <w:szCs w:val="20"/>
    </w:rPr>
  </w:style>
  <w:style w:type="character" w:customStyle="1" w:styleId="a4">
    <w:name w:val="頁首 字元"/>
    <w:basedOn w:val="a0"/>
    <w:link w:val="a3"/>
    <w:uiPriority w:val="99"/>
    <w:rsid w:val="00B72BE4"/>
    <w:rPr>
      <w:sz w:val="20"/>
      <w:szCs w:val="20"/>
    </w:rPr>
  </w:style>
  <w:style w:type="paragraph" w:styleId="a5">
    <w:name w:val="footer"/>
    <w:basedOn w:val="a"/>
    <w:link w:val="a6"/>
    <w:uiPriority w:val="99"/>
    <w:unhideWhenUsed/>
    <w:rsid w:val="00B72BE4"/>
    <w:pPr>
      <w:tabs>
        <w:tab w:val="center" w:pos="4153"/>
        <w:tab w:val="right" w:pos="8306"/>
      </w:tabs>
      <w:snapToGrid w:val="0"/>
    </w:pPr>
    <w:rPr>
      <w:sz w:val="20"/>
      <w:szCs w:val="20"/>
    </w:rPr>
  </w:style>
  <w:style w:type="character" w:customStyle="1" w:styleId="a6">
    <w:name w:val="頁尾 字元"/>
    <w:basedOn w:val="a0"/>
    <w:link w:val="a5"/>
    <w:uiPriority w:val="99"/>
    <w:rsid w:val="00B72BE4"/>
    <w:rPr>
      <w:sz w:val="20"/>
      <w:szCs w:val="20"/>
    </w:rPr>
  </w:style>
  <w:style w:type="table" w:styleId="a7">
    <w:name w:val="Table Grid"/>
    <w:basedOn w:val="a1"/>
    <w:uiPriority w:val="39"/>
    <w:rsid w:val="00B7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72BE4"/>
    <w:rPr>
      <w:sz w:val="18"/>
      <w:szCs w:val="18"/>
    </w:rPr>
  </w:style>
  <w:style w:type="paragraph" w:styleId="a9">
    <w:name w:val="annotation text"/>
    <w:basedOn w:val="a"/>
    <w:link w:val="aa"/>
    <w:uiPriority w:val="99"/>
    <w:semiHidden/>
    <w:unhideWhenUsed/>
    <w:rsid w:val="00B72BE4"/>
  </w:style>
  <w:style w:type="character" w:customStyle="1" w:styleId="aa">
    <w:name w:val="註解文字 字元"/>
    <w:basedOn w:val="a0"/>
    <w:link w:val="a9"/>
    <w:uiPriority w:val="99"/>
    <w:semiHidden/>
    <w:rsid w:val="00B72BE4"/>
  </w:style>
  <w:style w:type="paragraph" w:styleId="ab">
    <w:name w:val="annotation subject"/>
    <w:basedOn w:val="a9"/>
    <w:next w:val="a9"/>
    <w:link w:val="ac"/>
    <w:uiPriority w:val="99"/>
    <w:semiHidden/>
    <w:unhideWhenUsed/>
    <w:rsid w:val="00B72BE4"/>
    <w:rPr>
      <w:b/>
      <w:bCs/>
    </w:rPr>
  </w:style>
  <w:style w:type="character" w:customStyle="1" w:styleId="ac">
    <w:name w:val="註解主旨 字元"/>
    <w:basedOn w:val="aa"/>
    <w:link w:val="ab"/>
    <w:uiPriority w:val="99"/>
    <w:semiHidden/>
    <w:rsid w:val="00B72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269</Words>
  <Characters>1539</Characters>
  <Application>Microsoft Office Word</Application>
  <DocSecurity>0</DocSecurity>
  <Lines>12</Lines>
  <Paragraphs>3</Paragraphs>
  <ScaleCrop>false</ScaleCrop>
  <Company>GUC</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4</cp:revision>
  <dcterms:created xsi:type="dcterms:W3CDTF">2025-01-14T05:00:00Z</dcterms:created>
  <dcterms:modified xsi:type="dcterms:W3CDTF">2025-01-16T07:28:00Z</dcterms:modified>
</cp:coreProperties>
</file>