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C7DD" w14:textId="71A4E2C0" w:rsidR="004B4686" w:rsidRPr="006848DB" w:rsidRDefault="006848DB">
      <w:pPr>
        <w:rPr>
          <w:b/>
          <w:bCs/>
          <w:sz w:val="36"/>
          <w:szCs w:val="32"/>
        </w:rPr>
      </w:pPr>
      <w:r w:rsidRPr="006848DB">
        <w:rPr>
          <w:rFonts w:hint="eastAsia"/>
          <w:b/>
          <w:bCs/>
          <w:sz w:val="36"/>
          <w:szCs w:val="32"/>
        </w:rPr>
        <w:t>風險管理</w:t>
      </w:r>
    </w:p>
    <w:p w14:paraId="5D9BDEE7" w14:textId="3FC32733" w:rsidR="006848DB" w:rsidRDefault="006848DB"/>
    <w:p w14:paraId="31F8EC5E" w14:textId="77777777" w:rsidR="006848DB" w:rsidRDefault="006848DB" w:rsidP="006848DB">
      <w:pPr>
        <w:spacing w:line="360" w:lineRule="auto"/>
        <w:rPr>
          <w:rFonts w:hint="eastAsia"/>
        </w:rPr>
      </w:pPr>
      <w:r>
        <w:rPr>
          <w:rFonts w:hint="eastAsia"/>
        </w:rPr>
        <w:t>本公司已於</w:t>
      </w:r>
      <w:r>
        <w:rPr>
          <w:rFonts w:hint="eastAsia"/>
        </w:rPr>
        <w:t>99</w:t>
      </w:r>
      <w:r>
        <w:rPr>
          <w:rFonts w:hint="eastAsia"/>
        </w:rPr>
        <w:t>年經董事會通過《風險管理政策》，以作為本公司風險管理之最高指導原則。各管理單位定期對風險事項予以評估及檢討，並向營運管理風險委員會報告評估結果，再由總經理彙整重大風險事項後，定期向董事會報告。</w:t>
      </w:r>
    </w:p>
    <w:p w14:paraId="35909BF4" w14:textId="77777777" w:rsidR="006848DB" w:rsidRDefault="006848DB" w:rsidP="006848DB">
      <w:pPr>
        <w:spacing w:line="360" w:lineRule="auto"/>
      </w:pPr>
    </w:p>
    <w:p w14:paraId="3CC39CDB" w14:textId="474BDAEB" w:rsidR="006848DB" w:rsidRDefault="006848DB" w:rsidP="006848DB">
      <w:pPr>
        <w:spacing w:line="360" w:lineRule="auto"/>
      </w:pPr>
      <w:r>
        <w:rPr>
          <w:rFonts w:hint="eastAsia"/>
        </w:rPr>
        <w:t>在經營管理的過程中，對於可能發生的風險進行預防與控管，並製定相關預警措施。並依重大性原則進行與公司營運相關之風險評估，作為本公司風險管理及營運策略之參考，以有效辨識、衡量，及控製本公司之各項風險，將因業務活動所產生的風險控制在可接受的範圍。</w:t>
      </w:r>
    </w:p>
    <w:p w14:paraId="441A3426" w14:textId="0EA038A1" w:rsidR="006848DB" w:rsidRDefault="006848DB" w:rsidP="006848DB"/>
    <w:p w14:paraId="33A9382E" w14:textId="77777777" w:rsidR="006848DB" w:rsidRDefault="006848DB" w:rsidP="006848DB">
      <w:pPr>
        <w:rPr>
          <w:rFonts w:hint="eastAsia"/>
        </w:rPr>
      </w:pPr>
    </w:p>
    <w:p w14:paraId="02C30A8E" w14:textId="77777777" w:rsidR="006848DB" w:rsidRPr="006848DB" w:rsidRDefault="006848DB" w:rsidP="006848DB">
      <w:pPr>
        <w:rPr>
          <w:rFonts w:hint="eastAsia"/>
          <w:b/>
          <w:bCs/>
          <w:sz w:val="28"/>
          <w:szCs w:val="24"/>
        </w:rPr>
      </w:pPr>
      <w:r w:rsidRPr="006848DB">
        <w:rPr>
          <w:rFonts w:hint="eastAsia"/>
          <w:b/>
          <w:bCs/>
          <w:sz w:val="28"/>
          <w:szCs w:val="24"/>
        </w:rPr>
        <w:t>風險管理範疇</w:t>
      </w:r>
    </w:p>
    <w:p w14:paraId="0F78A682" w14:textId="77777777" w:rsidR="006848DB" w:rsidRDefault="006848DB" w:rsidP="006848DB">
      <w:pPr>
        <w:pStyle w:val="a7"/>
        <w:numPr>
          <w:ilvl w:val="0"/>
          <w:numId w:val="1"/>
        </w:numPr>
        <w:spacing w:line="480" w:lineRule="auto"/>
        <w:ind w:leftChars="0"/>
        <w:rPr>
          <w:rFonts w:hint="eastAsia"/>
        </w:rPr>
      </w:pPr>
      <w:r>
        <w:rPr>
          <w:rFonts w:hint="eastAsia"/>
        </w:rPr>
        <w:t>智慧財產管理計劃</w:t>
      </w:r>
    </w:p>
    <w:p w14:paraId="22987032" w14:textId="77777777" w:rsidR="006848DB" w:rsidRDefault="006848DB" w:rsidP="006848DB">
      <w:pPr>
        <w:pStyle w:val="a7"/>
        <w:numPr>
          <w:ilvl w:val="0"/>
          <w:numId w:val="1"/>
        </w:numPr>
        <w:spacing w:line="480" w:lineRule="auto"/>
        <w:ind w:leftChars="0"/>
        <w:rPr>
          <w:rFonts w:hint="eastAsia"/>
        </w:rPr>
      </w:pPr>
      <w:proofErr w:type="gramStart"/>
      <w:r>
        <w:rPr>
          <w:rFonts w:hint="eastAsia"/>
        </w:rPr>
        <w:t>資安風險</w:t>
      </w:r>
      <w:proofErr w:type="gramEnd"/>
    </w:p>
    <w:p w14:paraId="4D14E3AA" w14:textId="77777777" w:rsidR="006848DB" w:rsidRDefault="006848DB" w:rsidP="006848DB">
      <w:pPr>
        <w:pStyle w:val="a7"/>
        <w:numPr>
          <w:ilvl w:val="0"/>
          <w:numId w:val="1"/>
        </w:numPr>
        <w:spacing w:line="480" w:lineRule="auto"/>
        <w:ind w:leftChars="0"/>
        <w:rPr>
          <w:rFonts w:hint="eastAsia"/>
        </w:rPr>
      </w:pPr>
      <w:r>
        <w:rPr>
          <w:rFonts w:hint="eastAsia"/>
        </w:rPr>
        <w:t>合約風險</w:t>
      </w:r>
    </w:p>
    <w:p w14:paraId="356EBEC2" w14:textId="77777777" w:rsidR="006848DB" w:rsidRDefault="006848DB" w:rsidP="006848DB">
      <w:pPr>
        <w:pStyle w:val="a7"/>
        <w:numPr>
          <w:ilvl w:val="0"/>
          <w:numId w:val="1"/>
        </w:numPr>
        <w:spacing w:line="480" w:lineRule="auto"/>
        <w:ind w:leftChars="0"/>
        <w:rPr>
          <w:rFonts w:hint="eastAsia"/>
        </w:rPr>
      </w:pPr>
      <w:r>
        <w:rPr>
          <w:rFonts w:hint="eastAsia"/>
        </w:rPr>
        <w:t>產品質量與競爭力風險</w:t>
      </w:r>
    </w:p>
    <w:p w14:paraId="7498F5AF" w14:textId="77777777" w:rsidR="006848DB" w:rsidRDefault="006848DB" w:rsidP="006848DB">
      <w:pPr>
        <w:pStyle w:val="a7"/>
        <w:numPr>
          <w:ilvl w:val="0"/>
          <w:numId w:val="1"/>
        </w:numPr>
        <w:spacing w:line="480" w:lineRule="auto"/>
        <w:ind w:leftChars="0"/>
        <w:rPr>
          <w:rFonts w:hint="eastAsia"/>
        </w:rPr>
      </w:pPr>
      <w:r>
        <w:rPr>
          <w:rFonts w:hint="eastAsia"/>
        </w:rPr>
        <w:t>氣候變遷及環境風險管理緊急應變</w:t>
      </w:r>
    </w:p>
    <w:p w14:paraId="50130C40" w14:textId="4F9FE105" w:rsidR="006848DB" w:rsidRDefault="006848DB" w:rsidP="006848DB">
      <w:pPr>
        <w:pStyle w:val="a7"/>
        <w:numPr>
          <w:ilvl w:val="0"/>
          <w:numId w:val="1"/>
        </w:numPr>
        <w:spacing w:line="480" w:lineRule="auto"/>
        <w:ind w:leftChars="0"/>
      </w:pPr>
      <w:r>
        <w:rPr>
          <w:rFonts w:hint="eastAsia"/>
        </w:rPr>
        <w:t>營運風險</w:t>
      </w:r>
    </w:p>
    <w:p w14:paraId="27720015" w14:textId="77777777" w:rsidR="006848DB" w:rsidRDefault="006848DB" w:rsidP="006848DB">
      <w:pPr>
        <w:spacing w:line="480" w:lineRule="auto"/>
        <w:ind w:leftChars="100" w:left="240"/>
      </w:pPr>
    </w:p>
    <w:p w14:paraId="16296AD6" w14:textId="6833D4A7" w:rsidR="006848DB" w:rsidRPr="006848DB" w:rsidRDefault="006848DB" w:rsidP="006848DB">
      <w:pPr>
        <w:spacing w:line="480" w:lineRule="auto"/>
        <w:ind w:leftChars="100" w:left="240"/>
        <w:rPr>
          <w:rFonts w:hint="eastAsia"/>
          <w:b/>
          <w:bCs/>
          <w:sz w:val="28"/>
          <w:szCs w:val="24"/>
        </w:rPr>
      </w:pPr>
      <w:r w:rsidRPr="006848DB">
        <w:rPr>
          <w:rFonts w:hint="eastAsia"/>
          <w:b/>
          <w:bCs/>
          <w:sz w:val="28"/>
          <w:szCs w:val="24"/>
        </w:rPr>
        <w:t>運作情形</w:t>
      </w:r>
    </w:p>
    <w:p w14:paraId="4DF452D5" w14:textId="77777777" w:rsidR="006848DB" w:rsidRDefault="006848DB" w:rsidP="006848DB">
      <w:pPr>
        <w:spacing w:line="480" w:lineRule="auto"/>
        <w:ind w:leftChars="100" w:left="240"/>
        <w:rPr>
          <w:rFonts w:hint="eastAsia"/>
        </w:rPr>
      </w:pPr>
      <w:r>
        <w:rPr>
          <w:rFonts w:hint="eastAsia"/>
        </w:rPr>
        <w:t>營運管理委員會每月定期開會兩次，各單位除了簡報營運計畫執行情形，並報告相關職掌之風險控制情形，以及對潛在風險予以評估並提供因應對策，重大風險足以影響營運計畫之情形，彙整後由營運管理委員會主任委員呈報董事會。</w:t>
      </w:r>
    </w:p>
    <w:p w14:paraId="311A8CF9" w14:textId="77777777" w:rsidR="006848DB" w:rsidRDefault="006848DB" w:rsidP="006848DB">
      <w:pPr>
        <w:spacing w:line="480" w:lineRule="auto"/>
        <w:ind w:leftChars="100" w:left="240"/>
      </w:pPr>
    </w:p>
    <w:p w14:paraId="629EECE5" w14:textId="77777777" w:rsidR="006848DB" w:rsidRPr="006848DB" w:rsidRDefault="006848DB" w:rsidP="006848DB">
      <w:pPr>
        <w:spacing w:line="480" w:lineRule="auto"/>
        <w:ind w:leftChars="100" w:left="240"/>
        <w:rPr>
          <w:rFonts w:hint="eastAsia"/>
          <w:b/>
          <w:bCs/>
          <w:sz w:val="28"/>
          <w:szCs w:val="24"/>
        </w:rPr>
      </w:pPr>
      <w:r w:rsidRPr="006848DB">
        <w:rPr>
          <w:rFonts w:hint="eastAsia"/>
          <w:b/>
          <w:bCs/>
          <w:sz w:val="28"/>
          <w:szCs w:val="24"/>
        </w:rPr>
        <w:t>民國</w:t>
      </w:r>
      <w:proofErr w:type="gramStart"/>
      <w:r w:rsidRPr="006848DB">
        <w:rPr>
          <w:rFonts w:hint="eastAsia"/>
          <w:b/>
          <w:bCs/>
          <w:sz w:val="28"/>
          <w:szCs w:val="24"/>
        </w:rPr>
        <w:t>113</w:t>
      </w:r>
      <w:proofErr w:type="gramEnd"/>
      <w:r w:rsidRPr="006848DB">
        <w:rPr>
          <w:rFonts w:hint="eastAsia"/>
          <w:b/>
          <w:bCs/>
          <w:sz w:val="28"/>
          <w:szCs w:val="24"/>
        </w:rPr>
        <w:t>年度運作情形</w:t>
      </w:r>
    </w:p>
    <w:p w14:paraId="14E9F0DC" w14:textId="77777777" w:rsidR="006848DB" w:rsidRDefault="006848DB" w:rsidP="006848DB">
      <w:pPr>
        <w:pStyle w:val="a7"/>
        <w:numPr>
          <w:ilvl w:val="0"/>
          <w:numId w:val="2"/>
        </w:numPr>
        <w:spacing w:line="480" w:lineRule="auto"/>
        <w:ind w:leftChars="0"/>
      </w:pPr>
      <w:r>
        <w:rPr>
          <w:rFonts w:hint="eastAsia"/>
        </w:rPr>
        <w:t>本公司各處級單位已依年度計劃向營運管理委員會報告相關職掌之風險控制情形。</w:t>
      </w:r>
    </w:p>
    <w:p w14:paraId="2005C0E5" w14:textId="77777777" w:rsidR="006848DB" w:rsidRDefault="006848DB" w:rsidP="006848DB">
      <w:pPr>
        <w:pStyle w:val="a7"/>
        <w:numPr>
          <w:ilvl w:val="0"/>
          <w:numId w:val="2"/>
        </w:numPr>
        <w:spacing w:line="480" w:lineRule="auto"/>
        <w:ind w:leftChars="0"/>
      </w:pPr>
      <w:r>
        <w:rPr>
          <w:rFonts w:hint="eastAsia"/>
        </w:rPr>
        <w:t>本公司總經理於</w:t>
      </w:r>
      <w:r>
        <w:rPr>
          <w:rFonts w:hint="eastAsia"/>
        </w:rPr>
        <w:t>113/01/31</w:t>
      </w:r>
      <w:r>
        <w:rPr>
          <w:rFonts w:hint="eastAsia"/>
        </w:rPr>
        <w:t>董事會報告公司長期計畫及重要之潛在風險及其因應之道。</w:t>
      </w:r>
    </w:p>
    <w:p w14:paraId="43885A67" w14:textId="17C5D933" w:rsidR="006848DB" w:rsidRDefault="006848DB" w:rsidP="006848DB">
      <w:pPr>
        <w:pStyle w:val="a7"/>
        <w:numPr>
          <w:ilvl w:val="0"/>
          <w:numId w:val="2"/>
        </w:numPr>
        <w:spacing w:line="480" w:lineRule="auto"/>
        <w:ind w:leftChars="0"/>
      </w:pPr>
      <w:r>
        <w:rPr>
          <w:rFonts w:hint="eastAsia"/>
        </w:rPr>
        <w:t>本公司管理團隊於</w:t>
      </w:r>
      <w:r>
        <w:rPr>
          <w:rFonts w:hint="eastAsia"/>
        </w:rPr>
        <w:t>113/10/31</w:t>
      </w:r>
      <w:r>
        <w:rPr>
          <w:rFonts w:hint="eastAsia"/>
        </w:rPr>
        <w:t>董事會報告</w:t>
      </w:r>
      <w:proofErr w:type="gramStart"/>
      <w:r>
        <w:rPr>
          <w:rFonts w:hint="eastAsia"/>
        </w:rPr>
        <w:t>公司資安風險</w:t>
      </w:r>
      <w:proofErr w:type="gramEnd"/>
      <w:r>
        <w:rPr>
          <w:rFonts w:hint="eastAsia"/>
        </w:rPr>
        <w:t>管理、合約風險管理政策、智慧財產管理計畫。</w:t>
      </w:r>
    </w:p>
    <w:p w14:paraId="1C2A425C" w14:textId="6A8908FF" w:rsidR="006848DB" w:rsidRDefault="003C251C" w:rsidP="006848DB">
      <w:pPr>
        <w:spacing w:line="480" w:lineRule="auto"/>
      </w:pPr>
      <w:r>
        <w:rPr>
          <w:noProof/>
        </w:rPr>
        <w:drawing>
          <wp:inline distT="0" distB="0" distL="0" distR="0" wp14:anchorId="6877B15C" wp14:editId="5096A37A">
            <wp:extent cx="6858000" cy="1108543"/>
            <wp:effectExtent l="0" t="38100" r="0" b="53975"/>
            <wp:docPr id="4" name="資料庫圖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4EF95CE" w14:textId="1BD77A8E" w:rsidR="006848DB" w:rsidRPr="00A62AA9" w:rsidRDefault="003C251C" w:rsidP="006848DB">
      <w:pPr>
        <w:spacing w:line="480" w:lineRule="auto"/>
        <w:rPr>
          <w:b/>
          <w:bCs/>
          <w:color w:val="5B9BD5" w:themeColor="accent5"/>
          <w:sz w:val="28"/>
          <w:szCs w:val="24"/>
        </w:rPr>
      </w:pPr>
      <w:r w:rsidRPr="00A62AA9">
        <w:rPr>
          <w:rFonts w:hint="eastAsia"/>
          <w:b/>
          <w:bCs/>
          <w:color w:val="5B9BD5" w:themeColor="accent5"/>
          <w:sz w:val="28"/>
          <w:szCs w:val="24"/>
        </w:rPr>
        <w:t>(</w:t>
      </w:r>
      <w:r w:rsidRPr="00A62AA9">
        <w:rPr>
          <w:rFonts w:hint="eastAsia"/>
          <w:b/>
          <w:bCs/>
          <w:color w:val="5B9BD5" w:themeColor="accent5"/>
          <w:sz w:val="28"/>
          <w:szCs w:val="24"/>
        </w:rPr>
        <w:t>連結到</w:t>
      </w:r>
      <w:r w:rsidRPr="00A62AA9">
        <w:rPr>
          <w:rFonts w:hint="eastAsia"/>
          <w:b/>
          <w:bCs/>
          <w:color w:val="5B9BD5" w:themeColor="accent5"/>
          <w:sz w:val="28"/>
          <w:szCs w:val="24"/>
        </w:rPr>
        <w:t xml:space="preserve">: </w:t>
      </w:r>
      <w:r w:rsidRPr="00A62AA9">
        <w:rPr>
          <w:rFonts w:hint="eastAsia"/>
          <w:b/>
          <w:bCs/>
          <w:color w:val="5B9BD5" w:themeColor="accent5"/>
          <w:sz w:val="28"/>
          <w:szCs w:val="24"/>
        </w:rPr>
        <w:t>首頁</w:t>
      </w:r>
      <w:r w:rsidRPr="00A62AA9">
        <w:rPr>
          <w:rFonts w:hint="eastAsia"/>
          <w:b/>
          <w:bCs/>
          <w:color w:val="5B9BD5" w:themeColor="accent5"/>
          <w:sz w:val="28"/>
          <w:szCs w:val="24"/>
        </w:rPr>
        <w:t>／</w:t>
      </w:r>
      <w:r w:rsidRPr="00A62AA9">
        <w:rPr>
          <w:rFonts w:hint="eastAsia"/>
          <w:b/>
          <w:bCs/>
          <w:color w:val="5B9BD5" w:themeColor="accent5"/>
          <w:sz w:val="28"/>
          <w:szCs w:val="24"/>
        </w:rPr>
        <w:t>關於</w:t>
      </w:r>
      <w:r w:rsidR="00641165" w:rsidRPr="00A62AA9">
        <w:rPr>
          <w:rFonts w:hint="eastAsia"/>
          <w:b/>
          <w:bCs/>
          <w:color w:val="5B9BD5" w:themeColor="accent5"/>
          <w:sz w:val="28"/>
          <w:szCs w:val="24"/>
        </w:rPr>
        <w:t>我們</w:t>
      </w:r>
      <w:r w:rsidRPr="00A62AA9">
        <w:rPr>
          <w:rFonts w:hint="eastAsia"/>
          <w:b/>
          <w:bCs/>
          <w:color w:val="5B9BD5" w:themeColor="accent5"/>
          <w:sz w:val="28"/>
          <w:szCs w:val="24"/>
        </w:rPr>
        <w:t>／</w:t>
      </w:r>
      <w:r w:rsidRPr="00A62AA9">
        <w:rPr>
          <w:rFonts w:hint="eastAsia"/>
          <w:b/>
          <w:bCs/>
          <w:color w:val="5B9BD5" w:themeColor="accent5"/>
          <w:sz w:val="28"/>
          <w:szCs w:val="24"/>
        </w:rPr>
        <w:t>政策</w:t>
      </w:r>
      <w:r w:rsidRPr="00A62AA9">
        <w:rPr>
          <w:rFonts w:hint="eastAsia"/>
          <w:b/>
          <w:bCs/>
          <w:color w:val="5B9BD5" w:themeColor="accent5"/>
          <w:sz w:val="28"/>
          <w:szCs w:val="24"/>
        </w:rPr>
        <w:t>／</w:t>
      </w:r>
      <w:r w:rsidRPr="00A62AA9">
        <w:rPr>
          <w:rFonts w:hint="eastAsia"/>
          <w:b/>
          <w:bCs/>
          <w:color w:val="5B9BD5" w:themeColor="accent5"/>
          <w:sz w:val="28"/>
          <w:szCs w:val="24"/>
        </w:rPr>
        <w:t>智慧財產權管</w:t>
      </w:r>
      <w:r w:rsidRPr="00A62AA9">
        <w:rPr>
          <w:rFonts w:hint="eastAsia"/>
          <w:b/>
          <w:bCs/>
          <w:color w:val="5B9BD5" w:themeColor="accent5"/>
          <w:sz w:val="28"/>
          <w:szCs w:val="24"/>
        </w:rPr>
        <w:t>理</w:t>
      </w:r>
      <w:r w:rsidRPr="00A62AA9">
        <w:rPr>
          <w:rFonts w:hint="eastAsia"/>
          <w:b/>
          <w:bCs/>
          <w:color w:val="5B9BD5" w:themeColor="accent5"/>
          <w:sz w:val="28"/>
          <w:szCs w:val="24"/>
        </w:rPr>
        <w:t xml:space="preserve"> </w:t>
      </w:r>
      <w:r w:rsidRPr="00A62AA9">
        <w:rPr>
          <w:rFonts w:hint="eastAsia"/>
          <w:b/>
          <w:bCs/>
          <w:color w:val="5B9BD5" w:themeColor="accent5"/>
          <w:sz w:val="28"/>
          <w:szCs w:val="24"/>
        </w:rPr>
        <w:t>頁面</w:t>
      </w:r>
      <w:r w:rsidRPr="00A62AA9">
        <w:rPr>
          <w:rFonts w:hint="eastAsia"/>
          <w:b/>
          <w:bCs/>
          <w:color w:val="5B9BD5" w:themeColor="accent5"/>
          <w:sz w:val="28"/>
          <w:szCs w:val="24"/>
        </w:rPr>
        <w:t>)</w:t>
      </w:r>
    </w:p>
    <w:p w14:paraId="6956B6BD" w14:textId="29885C12" w:rsidR="003C251C" w:rsidRPr="00A62AA9" w:rsidRDefault="003C251C" w:rsidP="003C251C">
      <w:pPr>
        <w:spacing w:line="480" w:lineRule="auto"/>
        <w:rPr>
          <w:b/>
          <w:bCs/>
          <w:color w:val="A8D08D" w:themeColor="accent6" w:themeTint="99"/>
          <w:sz w:val="28"/>
          <w:szCs w:val="24"/>
        </w:rPr>
      </w:pPr>
      <w:r w:rsidRPr="00A62AA9">
        <w:rPr>
          <w:rFonts w:hint="eastAsia"/>
          <w:b/>
          <w:bCs/>
          <w:color w:val="A8D08D" w:themeColor="accent6" w:themeTint="99"/>
          <w:sz w:val="28"/>
          <w:szCs w:val="24"/>
        </w:rPr>
        <w:t>(</w:t>
      </w:r>
      <w:r w:rsidRPr="00A62AA9">
        <w:rPr>
          <w:rFonts w:hint="eastAsia"/>
          <w:b/>
          <w:bCs/>
          <w:color w:val="A8D08D" w:themeColor="accent6" w:themeTint="99"/>
          <w:sz w:val="28"/>
          <w:szCs w:val="24"/>
        </w:rPr>
        <w:t>連結到</w:t>
      </w:r>
      <w:r w:rsidRPr="00A62AA9">
        <w:rPr>
          <w:rFonts w:hint="eastAsia"/>
          <w:b/>
          <w:bCs/>
          <w:color w:val="A8D08D" w:themeColor="accent6" w:themeTint="99"/>
          <w:sz w:val="28"/>
          <w:szCs w:val="24"/>
        </w:rPr>
        <w:t xml:space="preserve">: </w:t>
      </w:r>
      <w:r w:rsidRPr="00A62AA9">
        <w:rPr>
          <w:rFonts w:hint="eastAsia"/>
          <w:b/>
          <w:bCs/>
          <w:color w:val="A8D08D" w:themeColor="accent6" w:themeTint="99"/>
          <w:sz w:val="28"/>
          <w:szCs w:val="24"/>
        </w:rPr>
        <w:t>首頁／</w:t>
      </w:r>
      <w:r w:rsidR="00641165" w:rsidRPr="00A62AA9">
        <w:rPr>
          <w:rFonts w:hint="eastAsia"/>
          <w:b/>
          <w:bCs/>
          <w:color w:val="A8D08D" w:themeColor="accent6" w:themeTint="99"/>
          <w:sz w:val="28"/>
          <w:szCs w:val="24"/>
        </w:rPr>
        <w:t>關於我們</w:t>
      </w:r>
      <w:r w:rsidRPr="00A62AA9">
        <w:rPr>
          <w:rFonts w:hint="eastAsia"/>
          <w:b/>
          <w:bCs/>
          <w:color w:val="A8D08D" w:themeColor="accent6" w:themeTint="99"/>
          <w:sz w:val="28"/>
          <w:szCs w:val="24"/>
        </w:rPr>
        <w:t>／政策／</w:t>
      </w:r>
      <w:r w:rsidRPr="00A62AA9">
        <w:rPr>
          <w:rFonts w:hint="eastAsia"/>
          <w:b/>
          <w:bCs/>
          <w:color w:val="A8D08D" w:themeColor="accent6" w:themeTint="99"/>
          <w:sz w:val="28"/>
          <w:szCs w:val="24"/>
        </w:rPr>
        <w:t>申訴及檢舉辦法</w:t>
      </w:r>
      <w:r w:rsidRPr="00A62AA9">
        <w:rPr>
          <w:rFonts w:hint="eastAsia"/>
          <w:b/>
          <w:bCs/>
          <w:color w:val="A8D08D" w:themeColor="accent6" w:themeTint="99"/>
          <w:sz w:val="28"/>
          <w:szCs w:val="24"/>
        </w:rPr>
        <w:t xml:space="preserve"> </w:t>
      </w:r>
      <w:r w:rsidRPr="00A62AA9">
        <w:rPr>
          <w:rFonts w:hint="eastAsia"/>
          <w:b/>
          <w:bCs/>
          <w:color w:val="A8D08D" w:themeColor="accent6" w:themeTint="99"/>
          <w:sz w:val="28"/>
          <w:szCs w:val="24"/>
        </w:rPr>
        <w:t>頁面</w:t>
      </w:r>
      <w:r w:rsidRPr="00A62AA9">
        <w:rPr>
          <w:rFonts w:hint="eastAsia"/>
          <w:b/>
          <w:bCs/>
          <w:color w:val="A8D08D" w:themeColor="accent6" w:themeTint="99"/>
          <w:sz w:val="28"/>
          <w:szCs w:val="24"/>
        </w:rPr>
        <w:t>)</w:t>
      </w:r>
    </w:p>
    <w:p w14:paraId="78D888CC" w14:textId="26B9DEA0" w:rsidR="003C251C" w:rsidRPr="00A62AA9" w:rsidRDefault="003C251C" w:rsidP="003C251C">
      <w:pPr>
        <w:spacing w:line="480" w:lineRule="auto"/>
        <w:rPr>
          <w:b/>
          <w:bCs/>
          <w:color w:val="70AD47" w:themeColor="accent6"/>
          <w:sz w:val="28"/>
          <w:szCs w:val="24"/>
        </w:rPr>
      </w:pPr>
      <w:r w:rsidRPr="00A62AA9">
        <w:rPr>
          <w:rFonts w:hint="eastAsia"/>
          <w:b/>
          <w:bCs/>
          <w:color w:val="70AD47" w:themeColor="accent6"/>
          <w:sz w:val="28"/>
          <w:szCs w:val="24"/>
        </w:rPr>
        <w:t>(</w:t>
      </w:r>
      <w:r w:rsidRPr="00A62AA9">
        <w:rPr>
          <w:rFonts w:hint="eastAsia"/>
          <w:b/>
          <w:bCs/>
          <w:color w:val="70AD47" w:themeColor="accent6"/>
          <w:sz w:val="28"/>
          <w:szCs w:val="24"/>
        </w:rPr>
        <w:t>連結到</w:t>
      </w:r>
      <w:r w:rsidRPr="00A62AA9">
        <w:rPr>
          <w:rFonts w:hint="eastAsia"/>
          <w:b/>
          <w:bCs/>
          <w:color w:val="70AD47" w:themeColor="accent6"/>
          <w:sz w:val="28"/>
          <w:szCs w:val="24"/>
        </w:rPr>
        <w:t xml:space="preserve">: </w:t>
      </w:r>
      <w:r w:rsidRPr="00A62AA9">
        <w:rPr>
          <w:rFonts w:hint="eastAsia"/>
          <w:b/>
          <w:bCs/>
          <w:color w:val="70AD47" w:themeColor="accent6"/>
          <w:sz w:val="28"/>
          <w:szCs w:val="24"/>
        </w:rPr>
        <w:t>首頁／</w:t>
      </w:r>
      <w:r w:rsidR="00641165" w:rsidRPr="00A62AA9">
        <w:rPr>
          <w:rFonts w:hint="eastAsia"/>
          <w:b/>
          <w:bCs/>
          <w:color w:val="70AD47" w:themeColor="accent6"/>
          <w:sz w:val="28"/>
          <w:szCs w:val="24"/>
        </w:rPr>
        <w:t>關於我們</w:t>
      </w:r>
      <w:r w:rsidRPr="00A62AA9">
        <w:rPr>
          <w:rFonts w:hint="eastAsia"/>
          <w:b/>
          <w:bCs/>
          <w:color w:val="70AD47" w:themeColor="accent6"/>
          <w:sz w:val="28"/>
          <w:szCs w:val="24"/>
        </w:rPr>
        <w:t>／政策／</w:t>
      </w:r>
      <w:r w:rsidRPr="00A62AA9">
        <w:rPr>
          <w:rFonts w:hint="eastAsia"/>
          <w:b/>
          <w:bCs/>
          <w:color w:val="70AD47" w:themeColor="accent6"/>
          <w:sz w:val="28"/>
          <w:szCs w:val="24"/>
        </w:rPr>
        <w:t>資訊安全</w:t>
      </w:r>
      <w:r w:rsidRPr="00A62AA9">
        <w:rPr>
          <w:rFonts w:hint="eastAsia"/>
          <w:b/>
          <w:bCs/>
          <w:color w:val="70AD47" w:themeColor="accent6"/>
          <w:sz w:val="28"/>
          <w:szCs w:val="24"/>
        </w:rPr>
        <w:t xml:space="preserve"> </w:t>
      </w:r>
      <w:r w:rsidRPr="00A62AA9">
        <w:rPr>
          <w:rFonts w:hint="eastAsia"/>
          <w:b/>
          <w:bCs/>
          <w:color w:val="70AD47" w:themeColor="accent6"/>
          <w:sz w:val="28"/>
          <w:szCs w:val="24"/>
        </w:rPr>
        <w:t>頁面</w:t>
      </w:r>
      <w:r w:rsidRPr="00A62AA9">
        <w:rPr>
          <w:rFonts w:hint="eastAsia"/>
          <w:b/>
          <w:bCs/>
          <w:color w:val="70AD47" w:themeColor="accent6"/>
          <w:sz w:val="28"/>
          <w:szCs w:val="24"/>
        </w:rPr>
        <w:t>)</w:t>
      </w:r>
    </w:p>
    <w:p w14:paraId="51A4D5E3" w14:textId="231B4C9C" w:rsidR="003C251C" w:rsidRPr="00A62AA9" w:rsidRDefault="003C251C" w:rsidP="003C251C">
      <w:pPr>
        <w:spacing w:line="480" w:lineRule="auto"/>
        <w:rPr>
          <w:rFonts w:hint="eastAsia"/>
          <w:b/>
          <w:bCs/>
          <w:sz w:val="28"/>
          <w:szCs w:val="24"/>
        </w:rPr>
      </w:pPr>
    </w:p>
    <w:sectPr w:rsidR="003C251C" w:rsidRPr="00A62AA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01E3" w14:textId="77777777" w:rsidR="006848DB" w:rsidRDefault="006848DB" w:rsidP="006848DB">
      <w:r>
        <w:separator/>
      </w:r>
    </w:p>
  </w:endnote>
  <w:endnote w:type="continuationSeparator" w:id="0">
    <w:p w14:paraId="503DD368" w14:textId="77777777" w:rsidR="006848DB" w:rsidRDefault="006848DB" w:rsidP="0068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52818" w14:textId="77777777" w:rsidR="006848DB" w:rsidRDefault="006848DB" w:rsidP="006848DB">
      <w:r>
        <w:separator/>
      </w:r>
    </w:p>
  </w:footnote>
  <w:footnote w:type="continuationSeparator" w:id="0">
    <w:p w14:paraId="5A4AC806" w14:textId="77777777" w:rsidR="006848DB" w:rsidRDefault="006848DB" w:rsidP="00684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9702A"/>
    <w:multiLevelType w:val="hybridMultilevel"/>
    <w:tmpl w:val="858A5F6A"/>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7DDC223B"/>
    <w:multiLevelType w:val="hybridMultilevel"/>
    <w:tmpl w:val="D9FE71D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FA"/>
    <w:rsid w:val="003C251C"/>
    <w:rsid w:val="004B4686"/>
    <w:rsid w:val="00641165"/>
    <w:rsid w:val="006848DB"/>
    <w:rsid w:val="00A62AA9"/>
    <w:rsid w:val="00BB6B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CF2A1"/>
  <w15:chartTrackingRefBased/>
  <w15:docId w15:val="{F0AB6586-8B78-4340-BB2D-A5B41AC5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8DB"/>
    <w:pPr>
      <w:tabs>
        <w:tab w:val="center" w:pos="4153"/>
        <w:tab w:val="right" w:pos="8306"/>
      </w:tabs>
      <w:snapToGrid w:val="0"/>
    </w:pPr>
    <w:rPr>
      <w:sz w:val="20"/>
      <w:szCs w:val="20"/>
    </w:rPr>
  </w:style>
  <w:style w:type="character" w:customStyle="1" w:styleId="a4">
    <w:name w:val="頁首 字元"/>
    <w:basedOn w:val="a0"/>
    <w:link w:val="a3"/>
    <w:uiPriority w:val="99"/>
    <w:rsid w:val="006848DB"/>
    <w:rPr>
      <w:sz w:val="20"/>
      <w:szCs w:val="20"/>
    </w:rPr>
  </w:style>
  <w:style w:type="paragraph" w:styleId="a5">
    <w:name w:val="footer"/>
    <w:basedOn w:val="a"/>
    <w:link w:val="a6"/>
    <w:uiPriority w:val="99"/>
    <w:unhideWhenUsed/>
    <w:rsid w:val="006848DB"/>
    <w:pPr>
      <w:tabs>
        <w:tab w:val="center" w:pos="4153"/>
        <w:tab w:val="right" w:pos="8306"/>
      </w:tabs>
      <w:snapToGrid w:val="0"/>
    </w:pPr>
    <w:rPr>
      <w:sz w:val="20"/>
      <w:szCs w:val="20"/>
    </w:rPr>
  </w:style>
  <w:style w:type="character" w:customStyle="1" w:styleId="a6">
    <w:name w:val="頁尾 字元"/>
    <w:basedOn w:val="a0"/>
    <w:link w:val="a5"/>
    <w:uiPriority w:val="99"/>
    <w:rsid w:val="006848DB"/>
    <w:rPr>
      <w:sz w:val="20"/>
      <w:szCs w:val="20"/>
    </w:rPr>
  </w:style>
  <w:style w:type="paragraph" w:styleId="a7">
    <w:name w:val="List Paragraph"/>
    <w:basedOn w:val="a"/>
    <w:uiPriority w:val="34"/>
    <w:qFormat/>
    <w:rsid w:val="006848D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E178BB-CA8E-4CCA-93B1-9A4CAC0B2BFA}" type="doc">
      <dgm:prSet loTypeId="urn:microsoft.com/office/officeart/2005/8/layout/default" loCatId="list" qsTypeId="urn:microsoft.com/office/officeart/2005/8/quickstyle/3d2" qsCatId="3D" csTypeId="urn:microsoft.com/office/officeart/2005/8/colors/colorful5" csCatId="colorful" phldr="1"/>
      <dgm:spPr/>
      <dgm:t>
        <a:bodyPr/>
        <a:lstStyle/>
        <a:p>
          <a:endParaRPr lang="zh-TW" altLang="en-US"/>
        </a:p>
      </dgm:t>
    </dgm:pt>
    <dgm:pt modelId="{35DF5C28-B68B-4AEE-AB6E-50093C9BF9E0}">
      <dgm:prSet phldrT="[文字]" custT="1"/>
      <dgm:spPr/>
      <dgm:t>
        <a:bodyPr/>
        <a:lstStyle/>
        <a:p>
          <a:r>
            <a:rPr lang="zh-TW" altLang="en-US" sz="1400" b="1"/>
            <a:t>智慧財產權管理</a:t>
          </a:r>
        </a:p>
      </dgm:t>
    </dgm:pt>
    <dgm:pt modelId="{69777204-D848-4E80-B40E-44ADF7B4FA37}" type="parTrans" cxnId="{723AB82C-3C1E-4754-B305-1A0F894FDE8C}">
      <dgm:prSet/>
      <dgm:spPr/>
      <dgm:t>
        <a:bodyPr/>
        <a:lstStyle/>
        <a:p>
          <a:endParaRPr lang="zh-TW" altLang="en-US" sz="1050" b="1"/>
        </a:p>
      </dgm:t>
    </dgm:pt>
    <dgm:pt modelId="{1A7A743C-07BB-4238-8287-324CDCBEDC13}" type="sibTrans" cxnId="{723AB82C-3C1E-4754-B305-1A0F894FDE8C}">
      <dgm:prSet/>
      <dgm:spPr/>
      <dgm:t>
        <a:bodyPr/>
        <a:lstStyle/>
        <a:p>
          <a:endParaRPr lang="zh-TW" altLang="en-US" sz="1050" b="1"/>
        </a:p>
      </dgm:t>
    </dgm:pt>
    <dgm:pt modelId="{2CB61842-CEA8-4A3B-A702-48CC8273C901}">
      <dgm:prSet phldrT="[文字]" custT="1"/>
      <dgm:spPr/>
      <dgm:t>
        <a:bodyPr/>
        <a:lstStyle/>
        <a:p>
          <a:r>
            <a:rPr lang="zh-TW" altLang="en-US" sz="1400" b="1"/>
            <a:t>申訴及檢舉辦法</a:t>
          </a:r>
        </a:p>
      </dgm:t>
    </dgm:pt>
    <dgm:pt modelId="{A2CED70D-77BA-4452-972E-0FF9A9B82605}" type="parTrans" cxnId="{2B1541BD-5C2F-4D47-81B6-1B03F71040C2}">
      <dgm:prSet/>
      <dgm:spPr/>
      <dgm:t>
        <a:bodyPr/>
        <a:lstStyle/>
        <a:p>
          <a:endParaRPr lang="zh-TW" altLang="en-US" sz="1050" b="1"/>
        </a:p>
      </dgm:t>
    </dgm:pt>
    <dgm:pt modelId="{1FA749CF-D277-4B3B-B1EB-BC2E893DB09C}" type="sibTrans" cxnId="{2B1541BD-5C2F-4D47-81B6-1B03F71040C2}">
      <dgm:prSet/>
      <dgm:spPr/>
      <dgm:t>
        <a:bodyPr/>
        <a:lstStyle/>
        <a:p>
          <a:endParaRPr lang="zh-TW" altLang="en-US" sz="1050" b="1"/>
        </a:p>
      </dgm:t>
    </dgm:pt>
    <dgm:pt modelId="{3A54D081-FBA9-49F5-B0C9-2CBE59269297}">
      <dgm:prSet phldrT="[文字]" custT="1"/>
      <dgm:spPr/>
      <dgm:t>
        <a:bodyPr/>
        <a:lstStyle/>
        <a:p>
          <a:r>
            <a:rPr lang="zh-TW" altLang="en-US" sz="1400" b="1"/>
            <a:t>資訊安全政策</a:t>
          </a:r>
        </a:p>
      </dgm:t>
    </dgm:pt>
    <dgm:pt modelId="{DB4D0C89-8DB4-4D0F-9256-323347F3349A}" type="parTrans" cxnId="{477AA24F-99DA-4295-BD44-BC3AEE621A87}">
      <dgm:prSet/>
      <dgm:spPr/>
      <dgm:t>
        <a:bodyPr/>
        <a:lstStyle/>
        <a:p>
          <a:endParaRPr lang="zh-TW" altLang="en-US" sz="1050" b="1"/>
        </a:p>
      </dgm:t>
    </dgm:pt>
    <dgm:pt modelId="{D5D0C0DA-A892-4016-97BA-EE122BE843A6}" type="sibTrans" cxnId="{477AA24F-99DA-4295-BD44-BC3AEE621A87}">
      <dgm:prSet/>
      <dgm:spPr/>
      <dgm:t>
        <a:bodyPr/>
        <a:lstStyle/>
        <a:p>
          <a:endParaRPr lang="zh-TW" altLang="en-US" sz="1050" b="1"/>
        </a:p>
      </dgm:t>
    </dgm:pt>
    <dgm:pt modelId="{E387DA20-1C84-4C8C-84DE-DFC5CAA39E55}" type="pres">
      <dgm:prSet presAssocID="{8FE178BB-CA8E-4CCA-93B1-9A4CAC0B2BFA}" presName="diagram" presStyleCnt="0">
        <dgm:presLayoutVars>
          <dgm:dir/>
          <dgm:resizeHandles val="exact"/>
        </dgm:presLayoutVars>
      </dgm:prSet>
      <dgm:spPr/>
    </dgm:pt>
    <dgm:pt modelId="{B288352F-492B-40FA-84BF-FE5D7FEE417D}" type="pres">
      <dgm:prSet presAssocID="{35DF5C28-B68B-4AEE-AB6E-50093C9BF9E0}" presName="node" presStyleLbl="node1" presStyleIdx="0" presStyleCnt="3">
        <dgm:presLayoutVars>
          <dgm:bulletEnabled val="1"/>
        </dgm:presLayoutVars>
      </dgm:prSet>
      <dgm:spPr/>
    </dgm:pt>
    <dgm:pt modelId="{EF5311BB-5703-4B32-A287-7F3BB7501110}" type="pres">
      <dgm:prSet presAssocID="{1A7A743C-07BB-4238-8287-324CDCBEDC13}" presName="sibTrans" presStyleCnt="0"/>
      <dgm:spPr/>
    </dgm:pt>
    <dgm:pt modelId="{C10B6213-5D83-4591-9A4C-862E2FB38B25}" type="pres">
      <dgm:prSet presAssocID="{2CB61842-CEA8-4A3B-A702-48CC8273C901}" presName="node" presStyleLbl="node1" presStyleIdx="1" presStyleCnt="3">
        <dgm:presLayoutVars>
          <dgm:bulletEnabled val="1"/>
        </dgm:presLayoutVars>
      </dgm:prSet>
      <dgm:spPr/>
    </dgm:pt>
    <dgm:pt modelId="{CABCD12D-A733-4799-A400-80FADC683E56}" type="pres">
      <dgm:prSet presAssocID="{1FA749CF-D277-4B3B-B1EB-BC2E893DB09C}" presName="sibTrans" presStyleCnt="0"/>
      <dgm:spPr/>
    </dgm:pt>
    <dgm:pt modelId="{37AB730D-5265-4B11-8BA5-186520103AEF}" type="pres">
      <dgm:prSet presAssocID="{3A54D081-FBA9-49F5-B0C9-2CBE59269297}" presName="node" presStyleLbl="node1" presStyleIdx="2" presStyleCnt="3">
        <dgm:presLayoutVars>
          <dgm:bulletEnabled val="1"/>
        </dgm:presLayoutVars>
      </dgm:prSet>
      <dgm:spPr/>
    </dgm:pt>
  </dgm:ptLst>
  <dgm:cxnLst>
    <dgm:cxn modelId="{723AB82C-3C1E-4754-B305-1A0F894FDE8C}" srcId="{8FE178BB-CA8E-4CCA-93B1-9A4CAC0B2BFA}" destId="{35DF5C28-B68B-4AEE-AB6E-50093C9BF9E0}" srcOrd="0" destOrd="0" parTransId="{69777204-D848-4E80-B40E-44ADF7B4FA37}" sibTransId="{1A7A743C-07BB-4238-8287-324CDCBEDC13}"/>
    <dgm:cxn modelId="{D2767B36-B651-46ED-9147-8A2E5B453437}" type="presOf" srcId="{8FE178BB-CA8E-4CCA-93B1-9A4CAC0B2BFA}" destId="{E387DA20-1C84-4C8C-84DE-DFC5CAA39E55}" srcOrd="0" destOrd="0" presId="urn:microsoft.com/office/officeart/2005/8/layout/default"/>
    <dgm:cxn modelId="{6E7A8A49-0758-4810-A36E-07F45CE5E107}" type="presOf" srcId="{35DF5C28-B68B-4AEE-AB6E-50093C9BF9E0}" destId="{B288352F-492B-40FA-84BF-FE5D7FEE417D}" srcOrd="0" destOrd="0" presId="urn:microsoft.com/office/officeart/2005/8/layout/default"/>
    <dgm:cxn modelId="{375CD86D-A9D7-45E3-9EE1-7537A7D95682}" type="presOf" srcId="{3A54D081-FBA9-49F5-B0C9-2CBE59269297}" destId="{37AB730D-5265-4B11-8BA5-186520103AEF}" srcOrd="0" destOrd="0" presId="urn:microsoft.com/office/officeart/2005/8/layout/default"/>
    <dgm:cxn modelId="{477AA24F-99DA-4295-BD44-BC3AEE621A87}" srcId="{8FE178BB-CA8E-4CCA-93B1-9A4CAC0B2BFA}" destId="{3A54D081-FBA9-49F5-B0C9-2CBE59269297}" srcOrd="2" destOrd="0" parTransId="{DB4D0C89-8DB4-4D0F-9256-323347F3349A}" sibTransId="{D5D0C0DA-A892-4016-97BA-EE122BE843A6}"/>
    <dgm:cxn modelId="{A8ACD595-9E6B-46AC-A0B7-80B373AA6CA5}" type="presOf" srcId="{2CB61842-CEA8-4A3B-A702-48CC8273C901}" destId="{C10B6213-5D83-4591-9A4C-862E2FB38B25}" srcOrd="0" destOrd="0" presId="urn:microsoft.com/office/officeart/2005/8/layout/default"/>
    <dgm:cxn modelId="{2B1541BD-5C2F-4D47-81B6-1B03F71040C2}" srcId="{8FE178BB-CA8E-4CCA-93B1-9A4CAC0B2BFA}" destId="{2CB61842-CEA8-4A3B-A702-48CC8273C901}" srcOrd="1" destOrd="0" parTransId="{A2CED70D-77BA-4452-972E-0FF9A9B82605}" sibTransId="{1FA749CF-D277-4B3B-B1EB-BC2E893DB09C}"/>
    <dgm:cxn modelId="{7531D7E6-56DC-4154-B515-1426DE19DAD9}" type="presParOf" srcId="{E387DA20-1C84-4C8C-84DE-DFC5CAA39E55}" destId="{B288352F-492B-40FA-84BF-FE5D7FEE417D}" srcOrd="0" destOrd="0" presId="urn:microsoft.com/office/officeart/2005/8/layout/default"/>
    <dgm:cxn modelId="{C4B69B7A-1A19-4580-8860-AD68EA9C5A22}" type="presParOf" srcId="{E387DA20-1C84-4C8C-84DE-DFC5CAA39E55}" destId="{EF5311BB-5703-4B32-A287-7F3BB7501110}" srcOrd="1" destOrd="0" presId="urn:microsoft.com/office/officeart/2005/8/layout/default"/>
    <dgm:cxn modelId="{1AB2EA86-24CF-47EF-9C5C-D88A04776664}" type="presParOf" srcId="{E387DA20-1C84-4C8C-84DE-DFC5CAA39E55}" destId="{C10B6213-5D83-4591-9A4C-862E2FB38B25}" srcOrd="2" destOrd="0" presId="urn:microsoft.com/office/officeart/2005/8/layout/default"/>
    <dgm:cxn modelId="{0D596CCE-192B-4E9B-A67C-0D48EF7B9B84}" type="presParOf" srcId="{E387DA20-1C84-4C8C-84DE-DFC5CAA39E55}" destId="{CABCD12D-A733-4799-A400-80FADC683E56}" srcOrd="3" destOrd="0" presId="urn:microsoft.com/office/officeart/2005/8/layout/default"/>
    <dgm:cxn modelId="{9057BC35-640F-4E02-982A-6AD6C4571566}" type="presParOf" srcId="{E387DA20-1C84-4C8C-84DE-DFC5CAA39E55}" destId="{37AB730D-5265-4B11-8BA5-186520103AEF}" srcOrd="4" destOrd="0" presId="urn:microsoft.com/office/officeart/2005/8/layout/defaul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88352F-492B-40FA-84BF-FE5D7FEE417D}">
      <dsp:nvSpPr>
        <dsp:cNvPr id="0" name=""/>
        <dsp:cNvSpPr/>
      </dsp:nvSpPr>
      <dsp:spPr>
        <a:xfrm>
          <a:off x="476845" y="742"/>
          <a:ext cx="1845096" cy="1107058"/>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b="1" kern="1200"/>
            <a:t>智慧財產權管理</a:t>
          </a:r>
        </a:p>
      </dsp:txBody>
      <dsp:txXfrm>
        <a:off x="476845" y="742"/>
        <a:ext cx="1845096" cy="1107058"/>
      </dsp:txXfrm>
    </dsp:sp>
    <dsp:sp modelId="{C10B6213-5D83-4591-9A4C-862E2FB38B25}">
      <dsp:nvSpPr>
        <dsp:cNvPr id="0" name=""/>
        <dsp:cNvSpPr/>
      </dsp:nvSpPr>
      <dsp:spPr>
        <a:xfrm>
          <a:off x="2506451" y="742"/>
          <a:ext cx="1845096" cy="1107058"/>
        </a:xfrm>
        <a:prstGeom prst="rect">
          <a:avLst/>
        </a:prstGeom>
        <a:gradFill rotWithShape="0">
          <a:gsLst>
            <a:gs pos="0">
              <a:schemeClr val="accent5">
                <a:hueOff val="-3379271"/>
                <a:satOff val="-8710"/>
                <a:lumOff val="-5883"/>
                <a:alphaOff val="0"/>
                <a:satMod val="103000"/>
                <a:lumMod val="102000"/>
                <a:tint val="94000"/>
              </a:schemeClr>
            </a:gs>
            <a:gs pos="50000">
              <a:schemeClr val="accent5">
                <a:hueOff val="-3379271"/>
                <a:satOff val="-8710"/>
                <a:lumOff val="-5883"/>
                <a:alphaOff val="0"/>
                <a:satMod val="110000"/>
                <a:lumMod val="100000"/>
                <a:shade val="100000"/>
              </a:schemeClr>
            </a:gs>
            <a:gs pos="100000">
              <a:schemeClr val="accent5">
                <a:hueOff val="-3379271"/>
                <a:satOff val="-8710"/>
                <a:lumOff val="-5883"/>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b="1" kern="1200"/>
            <a:t>申訴及檢舉辦法</a:t>
          </a:r>
        </a:p>
      </dsp:txBody>
      <dsp:txXfrm>
        <a:off x="2506451" y="742"/>
        <a:ext cx="1845096" cy="1107058"/>
      </dsp:txXfrm>
    </dsp:sp>
    <dsp:sp modelId="{37AB730D-5265-4B11-8BA5-186520103AEF}">
      <dsp:nvSpPr>
        <dsp:cNvPr id="0" name=""/>
        <dsp:cNvSpPr/>
      </dsp:nvSpPr>
      <dsp:spPr>
        <a:xfrm>
          <a:off x="4536058" y="742"/>
          <a:ext cx="1845096" cy="1107058"/>
        </a:xfrm>
        <a:prstGeom prst="rect">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b="1" kern="1200"/>
            <a:t>資訊安全政策</a:t>
          </a:r>
        </a:p>
      </dsp:txBody>
      <dsp:txXfrm>
        <a:off x="4536058" y="742"/>
        <a:ext cx="1845096" cy="110705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94</Words>
  <Characters>538</Characters>
  <Application>Microsoft Office Word</Application>
  <DocSecurity>0</DocSecurity>
  <Lines>4</Lines>
  <Paragraphs>1</Paragraphs>
  <ScaleCrop>false</ScaleCrop>
  <Company>GUC</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5</cp:revision>
  <dcterms:created xsi:type="dcterms:W3CDTF">2025-01-14T12:29:00Z</dcterms:created>
  <dcterms:modified xsi:type="dcterms:W3CDTF">2025-01-14T12:44:00Z</dcterms:modified>
</cp:coreProperties>
</file>