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6EED" w14:textId="77777777" w:rsidR="003C2C3D" w:rsidRPr="003C2C3D" w:rsidRDefault="003C2C3D" w:rsidP="003C2C3D">
      <w:pPr>
        <w:rPr>
          <w:rFonts w:hint="eastAsia"/>
          <w:b/>
          <w:bCs/>
          <w:color w:val="70AD47" w:themeColor="accent6"/>
          <w:sz w:val="32"/>
          <w:szCs w:val="28"/>
        </w:rPr>
      </w:pPr>
      <w:r w:rsidRPr="003C2C3D">
        <w:rPr>
          <w:rFonts w:hint="eastAsia"/>
          <w:b/>
          <w:bCs/>
          <w:color w:val="70AD47" w:themeColor="accent6"/>
          <w:sz w:val="32"/>
          <w:szCs w:val="28"/>
        </w:rPr>
        <w:t>董事會成員之接班計劃及運作</w:t>
      </w:r>
    </w:p>
    <w:p w14:paraId="2A567668" w14:textId="77777777" w:rsidR="003C2C3D" w:rsidRDefault="003C2C3D" w:rsidP="003C2C3D"/>
    <w:p w14:paraId="52093472" w14:textId="77777777" w:rsidR="003C2C3D" w:rsidRDefault="003C2C3D" w:rsidP="003C2C3D">
      <w:pPr>
        <w:spacing w:line="360" w:lineRule="auto"/>
        <w:rPr>
          <w:rFonts w:hint="eastAsia"/>
        </w:rPr>
      </w:pPr>
      <w:r>
        <w:rPr>
          <w:rFonts w:hint="eastAsia"/>
        </w:rPr>
        <w:t>本公司董事會成員的建置首重誠信，且與本公司核心價值相符，同時依據本公司長期發展策略，選任對本公司未來營運成長能貢獻相關經驗的專業人士。</w:t>
      </w:r>
    </w:p>
    <w:p w14:paraId="462DC9E3" w14:textId="77777777" w:rsidR="003C2C3D" w:rsidRDefault="003C2C3D" w:rsidP="003C2C3D">
      <w:pPr>
        <w:spacing w:line="360" w:lineRule="auto"/>
        <w:rPr>
          <w:rFonts w:hint="eastAsia"/>
        </w:rPr>
      </w:pPr>
      <w:r>
        <w:rPr>
          <w:rFonts w:hint="eastAsia"/>
        </w:rPr>
        <w:t>除考量董事成員多元性外，並從獲利成長，風險管理以及性別平衡等不同角度，組成一個能兼具追求營運成長，同時也能有效控管風險的最佳董事會成員組合。</w:t>
      </w:r>
    </w:p>
    <w:p w14:paraId="65A6E673" w14:textId="77777777" w:rsidR="003C2C3D" w:rsidRDefault="003C2C3D" w:rsidP="003C2C3D">
      <w:pPr>
        <w:spacing w:line="360" w:lineRule="auto"/>
      </w:pPr>
      <w:r>
        <w:t xml:space="preserve"> </w:t>
      </w:r>
    </w:p>
    <w:p w14:paraId="20D18256" w14:textId="71DB2AF1" w:rsidR="004B4686" w:rsidRDefault="003C2C3D" w:rsidP="003C2C3D">
      <w:pPr>
        <w:spacing w:line="360" w:lineRule="auto"/>
      </w:pPr>
      <w:r>
        <w:rPr>
          <w:rFonts w:hint="eastAsia"/>
        </w:rPr>
        <w:t>為達成此最佳董事會成員組合，本公司逐步改善董事會組成結構。第九屆董事成員原預定</w:t>
      </w:r>
      <w:r>
        <w:rPr>
          <w:rFonts w:hint="eastAsia"/>
        </w:rPr>
        <w:t>2023</w:t>
      </w:r>
      <w:r>
        <w:rPr>
          <w:rFonts w:hint="eastAsia"/>
        </w:rPr>
        <w:t>年全面改選，兩位連續任期已超過三屆之獨立董事自</w:t>
      </w:r>
      <w:r>
        <w:rPr>
          <w:rFonts w:hint="eastAsia"/>
        </w:rPr>
        <w:t>2022</w:t>
      </w:r>
      <w:r>
        <w:rPr>
          <w:rFonts w:hint="eastAsia"/>
        </w:rPr>
        <w:t>年</w:t>
      </w:r>
      <w:r>
        <w:rPr>
          <w:rFonts w:hint="eastAsia"/>
        </w:rPr>
        <w:t>5</w:t>
      </w:r>
      <w:r>
        <w:rPr>
          <w:rFonts w:hint="eastAsia"/>
        </w:rPr>
        <w:t>月</w:t>
      </w:r>
      <w:r>
        <w:rPr>
          <w:rFonts w:hint="eastAsia"/>
        </w:rPr>
        <w:t>19</w:t>
      </w:r>
      <w:r>
        <w:rPr>
          <w:rFonts w:hint="eastAsia"/>
        </w:rPr>
        <w:t>日起已辭去獨立董事職務，而本公司業已於</w:t>
      </w:r>
      <w:r>
        <w:rPr>
          <w:rFonts w:hint="eastAsia"/>
        </w:rPr>
        <w:t>2022</w:t>
      </w:r>
      <w:r>
        <w:rPr>
          <w:rFonts w:hint="eastAsia"/>
        </w:rPr>
        <w:t>年股東會補選兩席新任獨立董事，其中一任獨立董事為女性。在董事任期到期前一年本公司提前選任兩位新任董事，讓新任董事能熟悉公司業務及董事會的運作，以期能做到</w:t>
      </w:r>
      <w:proofErr w:type="gramStart"/>
      <w:r>
        <w:rPr>
          <w:rFonts w:hint="eastAsia"/>
        </w:rPr>
        <w:t>無縫接軌</w:t>
      </w:r>
      <w:proofErr w:type="gramEnd"/>
      <w:r>
        <w:rPr>
          <w:rFonts w:hint="eastAsia"/>
        </w:rPr>
        <w:t>。同時本公司訂有董事初任講習制度</w:t>
      </w:r>
      <w:r>
        <w:rPr>
          <w:rFonts w:hint="eastAsia"/>
        </w:rPr>
        <w:t xml:space="preserve">(Orientation) </w:t>
      </w:r>
      <w:r>
        <w:rPr>
          <w:rFonts w:hint="eastAsia"/>
        </w:rPr>
        <w:t>相關辦法，以協助董事就任及遵循法令。下表為相關新訓項目</w:t>
      </w:r>
      <w:r>
        <w:rPr>
          <w:rFonts w:hint="eastAsia"/>
        </w:rPr>
        <w:t>:</w:t>
      </w:r>
    </w:p>
    <w:p w14:paraId="000B51C0" w14:textId="4D4BD00C" w:rsidR="0082583A" w:rsidRDefault="0082583A" w:rsidP="003C2C3D">
      <w:pPr>
        <w:spacing w:line="360" w:lineRule="auto"/>
      </w:pPr>
    </w:p>
    <w:tbl>
      <w:tblPr>
        <w:tblStyle w:val="a7"/>
        <w:tblW w:w="0" w:type="auto"/>
        <w:tblLook w:val="04A0" w:firstRow="1" w:lastRow="0" w:firstColumn="1" w:lastColumn="0" w:noHBand="0" w:noVBand="1"/>
      </w:tblPr>
      <w:tblGrid>
        <w:gridCol w:w="1318"/>
        <w:gridCol w:w="4426"/>
        <w:gridCol w:w="2552"/>
      </w:tblGrid>
      <w:tr w:rsidR="0082583A" w14:paraId="1B1AFAFF" w14:textId="77777777" w:rsidTr="004443E1">
        <w:tc>
          <w:tcPr>
            <w:tcW w:w="13459" w:type="dxa"/>
            <w:gridSpan w:val="2"/>
            <w:shd w:val="clear" w:color="auto" w:fill="70AD47" w:themeFill="accent6"/>
          </w:tcPr>
          <w:p w14:paraId="103C8FB8" w14:textId="152F5AC6" w:rsidR="0082583A" w:rsidRPr="004443E1" w:rsidRDefault="0082583A" w:rsidP="003C2C3D">
            <w:pPr>
              <w:spacing w:line="360" w:lineRule="auto"/>
              <w:rPr>
                <w:rFonts w:hint="eastAsia"/>
                <w:b/>
                <w:bCs/>
                <w:color w:val="FFFFFF" w:themeColor="background1"/>
                <w:sz w:val="28"/>
                <w:szCs w:val="24"/>
              </w:rPr>
            </w:pPr>
            <w:r w:rsidRPr="004443E1">
              <w:rPr>
                <w:rFonts w:hint="eastAsia"/>
                <w:b/>
                <w:bCs/>
                <w:color w:val="FFFFFF" w:themeColor="background1"/>
                <w:sz w:val="28"/>
                <w:szCs w:val="24"/>
              </w:rPr>
              <w:t>董事新訓項目</w:t>
            </w:r>
          </w:p>
        </w:tc>
        <w:tc>
          <w:tcPr>
            <w:tcW w:w="5670" w:type="dxa"/>
            <w:shd w:val="clear" w:color="auto" w:fill="70AD47" w:themeFill="accent6"/>
          </w:tcPr>
          <w:p w14:paraId="7E6245C1" w14:textId="2F0829DE" w:rsidR="0082583A" w:rsidRPr="004443E1" w:rsidRDefault="0082583A" w:rsidP="003C2C3D">
            <w:pPr>
              <w:spacing w:line="360" w:lineRule="auto"/>
              <w:rPr>
                <w:rFonts w:hint="eastAsia"/>
                <w:b/>
                <w:bCs/>
                <w:color w:val="FFFFFF" w:themeColor="background1"/>
                <w:sz w:val="28"/>
                <w:szCs w:val="24"/>
              </w:rPr>
            </w:pPr>
            <w:r w:rsidRPr="004443E1">
              <w:rPr>
                <w:rFonts w:hint="eastAsia"/>
                <w:b/>
                <w:bCs/>
                <w:color w:val="FFFFFF" w:themeColor="background1"/>
                <w:sz w:val="28"/>
                <w:szCs w:val="24"/>
              </w:rPr>
              <w:t>相關單位</w:t>
            </w:r>
          </w:p>
        </w:tc>
      </w:tr>
      <w:tr w:rsidR="004443E1" w14:paraId="3A746021" w14:textId="77777777" w:rsidTr="004443E1">
        <w:tc>
          <w:tcPr>
            <w:tcW w:w="2765" w:type="dxa"/>
            <w:vMerge w:val="restart"/>
          </w:tcPr>
          <w:p w14:paraId="751BC21B" w14:textId="01D43930" w:rsidR="004443E1" w:rsidRPr="004443E1" w:rsidRDefault="004443E1" w:rsidP="004443E1">
            <w:pPr>
              <w:spacing w:line="720" w:lineRule="auto"/>
              <w:rPr>
                <w:rFonts w:hint="eastAsia"/>
                <w:b/>
                <w:bCs/>
              </w:rPr>
            </w:pPr>
            <w:r w:rsidRPr="004443E1">
              <w:rPr>
                <w:rFonts w:hint="eastAsia"/>
                <w:b/>
                <w:bCs/>
              </w:rPr>
              <w:t>基本介紹</w:t>
            </w:r>
          </w:p>
        </w:tc>
        <w:tc>
          <w:tcPr>
            <w:tcW w:w="10694" w:type="dxa"/>
          </w:tcPr>
          <w:p w14:paraId="44F26BDC" w14:textId="64CB9A12" w:rsidR="004443E1" w:rsidRDefault="004443E1" w:rsidP="0082583A">
            <w:pPr>
              <w:spacing w:line="360" w:lineRule="auto"/>
              <w:rPr>
                <w:rFonts w:hint="eastAsia"/>
              </w:rPr>
            </w:pPr>
            <w:r>
              <w:rPr>
                <w:rFonts w:hint="eastAsia"/>
              </w:rPr>
              <w:t>公司沿革、營運策略、中長期目標、市場競爭及市場定位</w:t>
            </w:r>
          </w:p>
        </w:tc>
        <w:tc>
          <w:tcPr>
            <w:tcW w:w="5670" w:type="dxa"/>
          </w:tcPr>
          <w:p w14:paraId="2320C00C" w14:textId="132DF520" w:rsidR="004443E1" w:rsidRDefault="004443E1" w:rsidP="003C2C3D">
            <w:pPr>
              <w:spacing w:line="360" w:lineRule="auto"/>
              <w:rPr>
                <w:rFonts w:hint="eastAsia"/>
              </w:rPr>
            </w:pPr>
            <w:r w:rsidRPr="0082583A">
              <w:rPr>
                <w:rFonts w:hint="eastAsia"/>
              </w:rPr>
              <w:t>董事長、總經理、財務長</w:t>
            </w:r>
          </w:p>
        </w:tc>
      </w:tr>
      <w:tr w:rsidR="004443E1" w14:paraId="3D761E72" w14:textId="77777777" w:rsidTr="004443E1">
        <w:tc>
          <w:tcPr>
            <w:tcW w:w="2765" w:type="dxa"/>
            <w:vMerge/>
          </w:tcPr>
          <w:p w14:paraId="1D98AEAD" w14:textId="77777777" w:rsidR="004443E1" w:rsidRPr="004443E1" w:rsidRDefault="004443E1" w:rsidP="004443E1">
            <w:pPr>
              <w:spacing w:line="720" w:lineRule="auto"/>
              <w:rPr>
                <w:rFonts w:hint="eastAsia"/>
                <w:b/>
                <w:bCs/>
              </w:rPr>
            </w:pPr>
          </w:p>
        </w:tc>
        <w:tc>
          <w:tcPr>
            <w:tcW w:w="10694" w:type="dxa"/>
          </w:tcPr>
          <w:p w14:paraId="0571F0C7" w14:textId="7076ED16" w:rsidR="004443E1" w:rsidRPr="0082583A" w:rsidRDefault="004443E1" w:rsidP="003C2C3D">
            <w:pPr>
              <w:spacing w:line="360" w:lineRule="auto"/>
              <w:rPr>
                <w:rFonts w:hint="eastAsia"/>
              </w:rPr>
            </w:pPr>
            <w:r w:rsidRPr="0082583A">
              <w:rPr>
                <w:rFonts w:hint="eastAsia"/>
              </w:rPr>
              <w:t>公司業務、組織及介紹各主要單位主管</w:t>
            </w:r>
          </w:p>
        </w:tc>
        <w:tc>
          <w:tcPr>
            <w:tcW w:w="5670" w:type="dxa"/>
          </w:tcPr>
          <w:p w14:paraId="7F2EB22B" w14:textId="55E9A0B1" w:rsidR="004443E1" w:rsidRDefault="004443E1" w:rsidP="003C2C3D">
            <w:pPr>
              <w:spacing w:line="360" w:lineRule="auto"/>
              <w:rPr>
                <w:rFonts w:hint="eastAsia"/>
              </w:rPr>
            </w:pPr>
            <w:r w:rsidRPr="0082583A">
              <w:rPr>
                <w:rFonts w:hint="eastAsia"/>
              </w:rPr>
              <w:t>董事長、總經理、人資主管</w:t>
            </w:r>
          </w:p>
        </w:tc>
      </w:tr>
      <w:tr w:rsidR="004443E1" w14:paraId="6D6EBD05" w14:textId="77777777" w:rsidTr="004443E1">
        <w:tc>
          <w:tcPr>
            <w:tcW w:w="2765" w:type="dxa"/>
            <w:vMerge/>
          </w:tcPr>
          <w:p w14:paraId="777ADAF2" w14:textId="77777777" w:rsidR="004443E1" w:rsidRPr="004443E1" w:rsidRDefault="004443E1" w:rsidP="004443E1">
            <w:pPr>
              <w:spacing w:line="720" w:lineRule="auto"/>
              <w:rPr>
                <w:rFonts w:hint="eastAsia"/>
                <w:b/>
                <w:bCs/>
              </w:rPr>
            </w:pPr>
          </w:p>
        </w:tc>
        <w:tc>
          <w:tcPr>
            <w:tcW w:w="10694" w:type="dxa"/>
          </w:tcPr>
          <w:p w14:paraId="3F2E6675" w14:textId="790E3DBB" w:rsidR="004443E1" w:rsidRDefault="004443E1" w:rsidP="0082583A">
            <w:pPr>
              <w:spacing w:line="360" w:lineRule="auto"/>
              <w:rPr>
                <w:rFonts w:hint="eastAsia"/>
              </w:rPr>
            </w:pPr>
            <w:r>
              <w:rPr>
                <w:rFonts w:hint="eastAsia"/>
              </w:rPr>
              <w:t>簡介股東結構、資本架構及維護投資人關係執行程序</w:t>
            </w:r>
          </w:p>
        </w:tc>
        <w:tc>
          <w:tcPr>
            <w:tcW w:w="5670" w:type="dxa"/>
          </w:tcPr>
          <w:p w14:paraId="721D69BF" w14:textId="562AF37F" w:rsidR="004443E1" w:rsidRDefault="004443E1" w:rsidP="003C2C3D">
            <w:pPr>
              <w:spacing w:line="360" w:lineRule="auto"/>
              <w:rPr>
                <w:rFonts w:hint="eastAsia"/>
              </w:rPr>
            </w:pPr>
            <w:r w:rsidRPr="0082583A">
              <w:rPr>
                <w:rFonts w:hint="eastAsia"/>
              </w:rPr>
              <w:t>財務長、投資人關係部</w:t>
            </w:r>
          </w:p>
        </w:tc>
      </w:tr>
      <w:tr w:rsidR="004443E1" w14:paraId="66A5A100" w14:textId="77777777" w:rsidTr="004443E1">
        <w:tc>
          <w:tcPr>
            <w:tcW w:w="2765" w:type="dxa"/>
            <w:vMerge/>
          </w:tcPr>
          <w:p w14:paraId="4C5653BD" w14:textId="77777777" w:rsidR="004443E1" w:rsidRPr="004443E1" w:rsidRDefault="004443E1" w:rsidP="004443E1">
            <w:pPr>
              <w:spacing w:line="720" w:lineRule="auto"/>
              <w:rPr>
                <w:rFonts w:hint="eastAsia"/>
                <w:b/>
                <w:bCs/>
              </w:rPr>
            </w:pPr>
          </w:p>
        </w:tc>
        <w:tc>
          <w:tcPr>
            <w:tcW w:w="10694" w:type="dxa"/>
          </w:tcPr>
          <w:p w14:paraId="26D75B4B" w14:textId="25C54139" w:rsidR="004443E1" w:rsidRPr="0082583A" w:rsidRDefault="004443E1" w:rsidP="0082583A">
            <w:pPr>
              <w:spacing w:line="360" w:lineRule="auto"/>
              <w:rPr>
                <w:rFonts w:hint="eastAsia"/>
              </w:rPr>
            </w:pPr>
            <w:r>
              <w:rPr>
                <w:rFonts w:hint="eastAsia"/>
              </w:rPr>
              <w:t>董事會</w:t>
            </w:r>
            <w:r>
              <w:rPr>
                <w:rFonts w:hint="eastAsia"/>
              </w:rPr>
              <w:t>/</w:t>
            </w:r>
            <w:r>
              <w:rPr>
                <w:rFonts w:hint="eastAsia"/>
              </w:rPr>
              <w:t>委員會責任與職權、架構及規章、董事會</w:t>
            </w:r>
            <w:r>
              <w:rPr>
                <w:rFonts w:hint="eastAsia"/>
              </w:rPr>
              <w:t>/</w:t>
            </w:r>
            <w:r>
              <w:rPr>
                <w:rFonts w:hint="eastAsia"/>
              </w:rPr>
              <w:t>委員會會議運作、董事長及委員會召集人角色、董事會</w:t>
            </w:r>
            <w:r>
              <w:rPr>
                <w:rFonts w:hint="eastAsia"/>
              </w:rPr>
              <w:t>/</w:t>
            </w:r>
            <w:r>
              <w:rPr>
                <w:rFonts w:hint="eastAsia"/>
              </w:rPr>
              <w:t>委員會成員績效評核程序</w:t>
            </w:r>
          </w:p>
        </w:tc>
        <w:tc>
          <w:tcPr>
            <w:tcW w:w="5670" w:type="dxa"/>
          </w:tcPr>
          <w:p w14:paraId="2ED619B9" w14:textId="16460FAA" w:rsidR="004443E1" w:rsidRDefault="004443E1" w:rsidP="003C2C3D">
            <w:pPr>
              <w:spacing w:line="360" w:lineRule="auto"/>
              <w:rPr>
                <w:rFonts w:hint="eastAsia"/>
              </w:rPr>
            </w:pPr>
            <w:r w:rsidRPr="0082583A">
              <w:rPr>
                <w:rFonts w:hint="eastAsia"/>
              </w:rPr>
              <w:t>董事長、公司治理主管、各委員會秘書</w:t>
            </w:r>
          </w:p>
        </w:tc>
      </w:tr>
      <w:tr w:rsidR="004443E1" w14:paraId="4CA31FAE" w14:textId="77777777" w:rsidTr="004443E1">
        <w:tc>
          <w:tcPr>
            <w:tcW w:w="2765" w:type="dxa"/>
            <w:vMerge w:val="restart"/>
          </w:tcPr>
          <w:p w14:paraId="7B1E722F" w14:textId="5C503700" w:rsidR="004443E1" w:rsidRPr="004443E1" w:rsidRDefault="004443E1" w:rsidP="004443E1">
            <w:pPr>
              <w:spacing w:line="720" w:lineRule="auto"/>
              <w:rPr>
                <w:rFonts w:hint="eastAsia"/>
                <w:b/>
                <w:bCs/>
              </w:rPr>
            </w:pPr>
            <w:r w:rsidRPr="004443E1">
              <w:rPr>
                <w:rFonts w:hint="eastAsia"/>
                <w:b/>
                <w:bCs/>
              </w:rPr>
              <w:t>公司治理</w:t>
            </w:r>
          </w:p>
        </w:tc>
        <w:tc>
          <w:tcPr>
            <w:tcW w:w="10694" w:type="dxa"/>
          </w:tcPr>
          <w:p w14:paraId="5A0F7892" w14:textId="35452C06" w:rsidR="004443E1" w:rsidRPr="0082583A" w:rsidRDefault="004443E1" w:rsidP="003C2C3D">
            <w:pPr>
              <w:spacing w:line="360" w:lineRule="auto"/>
              <w:rPr>
                <w:rFonts w:hint="eastAsia"/>
              </w:rPr>
            </w:pPr>
            <w:r w:rsidRPr="0082583A">
              <w:rPr>
                <w:rFonts w:hint="eastAsia"/>
              </w:rPr>
              <w:t>董事應遵循法令、與董事相關之公司內部規章</w:t>
            </w:r>
          </w:p>
        </w:tc>
        <w:tc>
          <w:tcPr>
            <w:tcW w:w="5670" w:type="dxa"/>
          </w:tcPr>
          <w:p w14:paraId="1E9170DA" w14:textId="09EF6BAA" w:rsidR="004443E1" w:rsidRDefault="004443E1" w:rsidP="003C2C3D">
            <w:pPr>
              <w:spacing w:line="360" w:lineRule="auto"/>
              <w:rPr>
                <w:rFonts w:hint="eastAsia"/>
              </w:rPr>
            </w:pPr>
            <w:r w:rsidRPr="0082583A">
              <w:rPr>
                <w:rFonts w:hint="eastAsia"/>
              </w:rPr>
              <w:t>董事長、公司治理主管</w:t>
            </w:r>
          </w:p>
        </w:tc>
      </w:tr>
      <w:tr w:rsidR="004443E1" w14:paraId="787975F4" w14:textId="77777777" w:rsidTr="004443E1">
        <w:tc>
          <w:tcPr>
            <w:tcW w:w="2765" w:type="dxa"/>
            <w:vMerge/>
          </w:tcPr>
          <w:p w14:paraId="290330CD" w14:textId="77777777" w:rsidR="004443E1" w:rsidRPr="004443E1" w:rsidRDefault="004443E1" w:rsidP="004443E1">
            <w:pPr>
              <w:spacing w:line="720" w:lineRule="auto"/>
              <w:rPr>
                <w:rFonts w:hint="eastAsia"/>
                <w:b/>
                <w:bCs/>
              </w:rPr>
            </w:pPr>
          </w:p>
        </w:tc>
        <w:tc>
          <w:tcPr>
            <w:tcW w:w="10694" w:type="dxa"/>
          </w:tcPr>
          <w:p w14:paraId="7A73F319" w14:textId="1E25A692" w:rsidR="004443E1" w:rsidRDefault="004443E1" w:rsidP="003C2C3D">
            <w:pPr>
              <w:spacing w:line="360" w:lineRule="auto"/>
              <w:rPr>
                <w:rFonts w:hint="eastAsia"/>
              </w:rPr>
            </w:pPr>
            <w:r w:rsidRPr="0082583A">
              <w:rPr>
                <w:rFonts w:hint="eastAsia"/>
              </w:rPr>
              <w:t>董事保險內容</w:t>
            </w:r>
          </w:p>
        </w:tc>
        <w:tc>
          <w:tcPr>
            <w:tcW w:w="5670" w:type="dxa"/>
          </w:tcPr>
          <w:p w14:paraId="4D4202FD" w14:textId="74C54236" w:rsidR="004443E1" w:rsidRDefault="004443E1" w:rsidP="003C2C3D">
            <w:pPr>
              <w:spacing w:line="360" w:lineRule="auto"/>
              <w:rPr>
                <w:rFonts w:hint="eastAsia"/>
              </w:rPr>
            </w:pPr>
            <w:r w:rsidRPr="0082583A">
              <w:rPr>
                <w:rFonts w:hint="eastAsia"/>
              </w:rPr>
              <w:t>公司治理主管</w:t>
            </w:r>
          </w:p>
        </w:tc>
      </w:tr>
      <w:tr w:rsidR="004443E1" w14:paraId="20518DDB" w14:textId="77777777" w:rsidTr="004443E1">
        <w:tc>
          <w:tcPr>
            <w:tcW w:w="2765" w:type="dxa"/>
            <w:vMerge w:val="restart"/>
          </w:tcPr>
          <w:p w14:paraId="66AF0DDF" w14:textId="3EF1922B" w:rsidR="004443E1" w:rsidRPr="004443E1" w:rsidRDefault="004443E1" w:rsidP="004443E1">
            <w:pPr>
              <w:spacing w:line="720" w:lineRule="auto"/>
              <w:rPr>
                <w:rFonts w:hint="eastAsia"/>
                <w:b/>
                <w:bCs/>
              </w:rPr>
            </w:pPr>
            <w:r w:rsidRPr="004443E1">
              <w:rPr>
                <w:rFonts w:hint="eastAsia"/>
                <w:b/>
                <w:bCs/>
              </w:rPr>
              <w:t>內控及風險管理</w:t>
            </w:r>
          </w:p>
        </w:tc>
        <w:tc>
          <w:tcPr>
            <w:tcW w:w="10694" w:type="dxa"/>
          </w:tcPr>
          <w:p w14:paraId="64B40425" w14:textId="1E06538A" w:rsidR="004443E1" w:rsidRDefault="004443E1" w:rsidP="003C2C3D">
            <w:pPr>
              <w:spacing w:line="360" w:lineRule="auto"/>
              <w:rPr>
                <w:rFonts w:hint="eastAsia"/>
              </w:rPr>
            </w:pPr>
            <w:r w:rsidRPr="0082583A">
              <w:rPr>
                <w:rFonts w:hint="eastAsia"/>
              </w:rPr>
              <w:t>公司風險及因應、主要法律事項</w:t>
            </w:r>
          </w:p>
        </w:tc>
        <w:tc>
          <w:tcPr>
            <w:tcW w:w="5670" w:type="dxa"/>
          </w:tcPr>
          <w:p w14:paraId="690FDB00" w14:textId="0969F92B" w:rsidR="004443E1" w:rsidRDefault="004443E1" w:rsidP="003C2C3D">
            <w:pPr>
              <w:spacing w:line="360" w:lineRule="auto"/>
              <w:rPr>
                <w:rFonts w:hint="eastAsia"/>
              </w:rPr>
            </w:pPr>
            <w:r w:rsidRPr="0082583A">
              <w:rPr>
                <w:rFonts w:hint="eastAsia"/>
              </w:rPr>
              <w:t>董事長、總經理、公司治理主管、法務主管、內部稽核主管、簽證會計師</w:t>
            </w:r>
          </w:p>
        </w:tc>
      </w:tr>
      <w:tr w:rsidR="004443E1" w14:paraId="3D1F4449" w14:textId="77777777" w:rsidTr="004443E1">
        <w:tc>
          <w:tcPr>
            <w:tcW w:w="2765" w:type="dxa"/>
            <w:vMerge/>
          </w:tcPr>
          <w:p w14:paraId="712C1255" w14:textId="77777777" w:rsidR="004443E1" w:rsidRDefault="004443E1" w:rsidP="003C2C3D">
            <w:pPr>
              <w:spacing w:line="360" w:lineRule="auto"/>
              <w:rPr>
                <w:rFonts w:hint="eastAsia"/>
              </w:rPr>
            </w:pPr>
          </w:p>
        </w:tc>
        <w:tc>
          <w:tcPr>
            <w:tcW w:w="10694" w:type="dxa"/>
          </w:tcPr>
          <w:p w14:paraId="42C831CD" w14:textId="3A9E7042" w:rsidR="004443E1" w:rsidRPr="0082583A" w:rsidRDefault="004443E1" w:rsidP="003C2C3D">
            <w:pPr>
              <w:spacing w:line="360" w:lineRule="auto"/>
              <w:rPr>
                <w:rFonts w:hint="eastAsia"/>
              </w:rPr>
            </w:pPr>
            <w:r w:rsidRPr="0082583A">
              <w:rPr>
                <w:rFonts w:hint="eastAsia"/>
              </w:rPr>
              <w:t>審計委員會及其它功能性委員會之相關規範及運作實務</w:t>
            </w:r>
          </w:p>
        </w:tc>
        <w:tc>
          <w:tcPr>
            <w:tcW w:w="5670" w:type="dxa"/>
          </w:tcPr>
          <w:p w14:paraId="3BDCD889" w14:textId="77777777" w:rsidR="004443E1" w:rsidRDefault="004443E1" w:rsidP="0082583A">
            <w:pPr>
              <w:spacing w:line="360" w:lineRule="auto"/>
              <w:rPr>
                <w:rFonts w:hint="eastAsia"/>
              </w:rPr>
            </w:pPr>
            <w:r>
              <w:rPr>
                <w:rFonts w:hint="eastAsia"/>
              </w:rPr>
              <w:t>內部：各功能性委員會召集人及委員會秘書、公司治理主管</w:t>
            </w:r>
          </w:p>
          <w:p w14:paraId="152B671B" w14:textId="226BE500" w:rsidR="004443E1" w:rsidRDefault="004443E1" w:rsidP="0082583A">
            <w:pPr>
              <w:spacing w:line="360" w:lineRule="auto"/>
              <w:rPr>
                <w:rFonts w:hint="eastAsia"/>
              </w:rPr>
            </w:pPr>
            <w:r>
              <w:rPr>
                <w:rFonts w:hint="eastAsia"/>
              </w:rPr>
              <w:t>外部：安排外部專業訓練機構講師</w:t>
            </w:r>
          </w:p>
        </w:tc>
      </w:tr>
      <w:tr w:rsidR="004443E1" w14:paraId="77DB8290" w14:textId="77777777" w:rsidTr="004443E1">
        <w:tc>
          <w:tcPr>
            <w:tcW w:w="2765" w:type="dxa"/>
            <w:vMerge/>
          </w:tcPr>
          <w:p w14:paraId="465F8610" w14:textId="77777777" w:rsidR="004443E1" w:rsidRDefault="004443E1" w:rsidP="003C2C3D">
            <w:pPr>
              <w:spacing w:line="360" w:lineRule="auto"/>
              <w:rPr>
                <w:rFonts w:hint="eastAsia"/>
              </w:rPr>
            </w:pPr>
          </w:p>
        </w:tc>
        <w:tc>
          <w:tcPr>
            <w:tcW w:w="10694" w:type="dxa"/>
          </w:tcPr>
          <w:p w14:paraId="59A6FC56" w14:textId="70DB868C" w:rsidR="004443E1" w:rsidRPr="0082583A" w:rsidRDefault="004443E1" w:rsidP="003C2C3D">
            <w:pPr>
              <w:spacing w:line="360" w:lineRule="auto"/>
              <w:rPr>
                <w:rFonts w:hint="eastAsia"/>
              </w:rPr>
            </w:pPr>
            <w:r w:rsidRPr="0082583A">
              <w:rPr>
                <w:rFonts w:hint="eastAsia"/>
              </w:rPr>
              <w:t>主要會計原則與政策介紹及特殊事項與財務報表表達揭露說明</w:t>
            </w:r>
          </w:p>
        </w:tc>
        <w:tc>
          <w:tcPr>
            <w:tcW w:w="5670" w:type="dxa"/>
          </w:tcPr>
          <w:p w14:paraId="762B57FD" w14:textId="15E190AD" w:rsidR="004443E1" w:rsidRDefault="004443E1" w:rsidP="003C2C3D">
            <w:pPr>
              <w:spacing w:line="360" w:lineRule="auto"/>
              <w:rPr>
                <w:rFonts w:hint="eastAsia"/>
              </w:rPr>
            </w:pPr>
            <w:r w:rsidRPr="0082583A">
              <w:rPr>
                <w:rFonts w:hint="eastAsia"/>
              </w:rPr>
              <w:t>財務長、審計委員會召集人、簽證會計師</w:t>
            </w:r>
          </w:p>
        </w:tc>
      </w:tr>
    </w:tbl>
    <w:p w14:paraId="66D71D43" w14:textId="77777777" w:rsidR="0082583A" w:rsidRDefault="0082583A" w:rsidP="0082583A">
      <w:pPr>
        <w:spacing w:line="360" w:lineRule="auto"/>
        <w:rPr>
          <w:rFonts w:hint="eastAsia"/>
        </w:rPr>
      </w:pPr>
      <w:r>
        <w:rPr>
          <w:rFonts w:hint="eastAsia"/>
        </w:rPr>
        <w:t>在董事培育</w:t>
      </w:r>
      <w:proofErr w:type="gramStart"/>
      <w:r>
        <w:rPr>
          <w:rFonts w:hint="eastAsia"/>
        </w:rPr>
        <w:t>規</w:t>
      </w:r>
      <w:proofErr w:type="gramEnd"/>
      <w:r>
        <w:rPr>
          <w:rFonts w:hint="eastAsia"/>
        </w:rPr>
        <w:t>畫部分，本公司定期安排董事專業進修課程</w:t>
      </w:r>
      <w:r>
        <w:rPr>
          <w:rFonts w:hint="eastAsia"/>
        </w:rPr>
        <w:t>(</w:t>
      </w:r>
      <w:r>
        <w:rPr>
          <w:rFonts w:hint="eastAsia"/>
        </w:rPr>
        <w:t>董事進修情形請參閱公司年報</w:t>
      </w:r>
      <w:r>
        <w:rPr>
          <w:rFonts w:hint="eastAsia"/>
        </w:rPr>
        <w:t>)</w:t>
      </w:r>
      <w:r>
        <w:rPr>
          <w:rFonts w:hint="eastAsia"/>
        </w:rPr>
        <w:t>，並訂有董事會績效評估辦法，定期進行內部及外部評估</w:t>
      </w:r>
      <w:r>
        <w:rPr>
          <w:rFonts w:hint="eastAsia"/>
        </w:rPr>
        <w:t>(</w:t>
      </w:r>
      <w:r>
        <w:rPr>
          <w:rFonts w:hint="eastAsia"/>
        </w:rPr>
        <w:t>績效評估內容請</w:t>
      </w:r>
      <w:proofErr w:type="gramStart"/>
      <w:r>
        <w:rPr>
          <w:rFonts w:hint="eastAsia"/>
        </w:rPr>
        <w:t>參閱官網之</w:t>
      </w:r>
      <w:proofErr w:type="gramEnd"/>
      <w:r>
        <w:rPr>
          <w:rFonts w:hint="eastAsia"/>
        </w:rPr>
        <w:t>董事會績效評估</w:t>
      </w:r>
      <w:r>
        <w:rPr>
          <w:rFonts w:hint="eastAsia"/>
        </w:rPr>
        <w:t>)</w:t>
      </w:r>
      <w:r>
        <w:rPr>
          <w:rFonts w:hint="eastAsia"/>
        </w:rPr>
        <w:t>，透過各項評核項目評定董事績效表現，作為日後董事續任提名之參考</w:t>
      </w:r>
      <w:r>
        <w:rPr>
          <w:rFonts w:hint="eastAsia"/>
        </w:rPr>
        <w:t xml:space="preserve"> </w:t>
      </w:r>
      <w:r>
        <w:rPr>
          <w:rFonts w:hint="eastAsia"/>
        </w:rPr>
        <w:t>。</w:t>
      </w:r>
    </w:p>
    <w:p w14:paraId="658A85AE" w14:textId="77777777" w:rsidR="0082583A" w:rsidRDefault="0082583A" w:rsidP="0082583A">
      <w:pPr>
        <w:spacing w:line="360" w:lineRule="auto"/>
      </w:pPr>
    </w:p>
    <w:p w14:paraId="70793705" w14:textId="79627E3C" w:rsidR="0082583A" w:rsidRDefault="0082583A" w:rsidP="0082583A">
      <w:pPr>
        <w:spacing w:line="360" w:lineRule="auto"/>
      </w:pPr>
      <w:r>
        <w:rPr>
          <w:rFonts w:hint="eastAsia"/>
        </w:rPr>
        <w:t>本公司現任董事長為本公司法人董事台灣積體電路製造股份有限公司之法人代表人，其亦為該法人董事之現任董事會成員。</w:t>
      </w:r>
    </w:p>
    <w:p w14:paraId="5291BFCD" w14:textId="6D5A0B60" w:rsidR="0082583A" w:rsidRDefault="0082583A" w:rsidP="0082583A">
      <w:pPr>
        <w:spacing w:line="360" w:lineRule="auto"/>
      </w:pPr>
    </w:p>
    <w:p w14:paraId="327346CE" w14:textId="0B701A17" w:rsidR="0082583A" w:rsidRDefault="0082583A" w:rsidP="0082583A">
      <w:pPr>
        <w:spacing w:line="360" w:lineRule="auto"/>
      </w:pPr>
    </w:p>
    <w:p w14:paraId="66A5A23F" w14:textId="77777777" w:rsidR="0082583A" w:rsidRDefault="0082583A" w:rsidP="0082583A">
      <w:pPr>
        <w:spacing w:line="360" w:lineRule="auto"/>
        <w:rPr>
          <w:rFonts w:hint="eastAsia"/>
        </w:rPr>
      </w:pPr>
    </w:p>
    <w:p w14:paraId="2CF3DBAD" w14:textId="77777777" w:rsidR="0082583A" w:rsidRPr="0082583A" w:rsidRDefault="0082583A" w:rsidP="0082583A">
      <w:pPr>
        <w:spacing w:line="360" w:lineRule="auto"/>
        <w:rPr>
          <w:rFonts w:hint="eastAsia"/>
          <w:b/>
          <w:bCs/>
          <w:color w:val="538135" w:themeColor="accent6" w:themeShade="BF"/>
          <w:sz w:val="32"/>
          <w:szCs w:val="28"/>
        </w:rPr>
      </w:pPr>
      <w:r w:rsidRPr="0082583A">
        <w:rPr>
          <w:rFonts w:hint="eastAsia"/>
          <w:b/>
          <w:bCs/>
          <w:color w:val="538135" w:themeColor="accent6" w:themeShade="BF"/>
          <w:sz w:val="32"/>
          <w:szCs w:val="28"/>
        </w:rPr>
        <w:t>重要管理階層之接班計劃及運作</w:t>
      </w:r>
    </w:p>
    <w:p w14:paraId="223F3E03" w14:textId="77777777" w:rsidR="0082583A" w:rsidRDefault="0082583A" w:rsidP="0082583A">
      <w:pPr>
        <w:spacing w:line="360" w:lineRule="auto"/>
      </w:pPr>
    </w:p>
    <w:p w14:paraId="6F3ABB79" w14:textId="77777777" w:rsidR="0082583A" w:rsidRDefault="0082583A" w:rsidP="0082583A">
      <w:pPr>
        <w:spacing w:line="360" w:lineRule="auto"/>
        <w:rPr>
          <w:rFonts w:hint="eastAsia"/>
        </w:rPr>
      </w:pPr>
      <w:r>
        <w:rPr>
          <w:rFonts w:hint="eastAsia"/>
        </w:rPr>
        <w:t>公司極度重視卓越和持續的成功，這使我們在競爭激烈的市場中擁有不可取代的地位。在這個充滿挑戰和變革的時代，我們深知強化領導團隊和公司治理的重要性。因此，我們一直在進行接班規劃和實施，以確保公司的永續發展。</w:t>
      </w:r>
    </w:p>
    <w:p w14:paraId="3B370E9D" w14:textId="77777777" w:rsidR="0082583A" w:rsidRDefault="0082583A" w:rsidP="0082583A">
      <w:pPr>
        <w:spacing w:line="360" w:lineRule="auto"/>
      </w:pPr>
    </w:p>
    <w:p w14:paraId="4A38680A" w14:textId="77777777" w:rsidR="0082583A" w:rsidRPr="0082583A" w:rsidRDefault="0082583A" w:rsidP="0082583A">
      <w:pPr>
        <w:spacing w:line="360" w:lineRule="auto"/>
        <w:rPr>
          <w:rFonts w:hint="eastAsia"/>
          <w:b/>
          <w:bCs/>
          <w:sz w:val="28"/>
          <w:szCs w:val="24"/>
        </w:rPr>
      </w:pPr>
      <w:r w:rsidRPr="0082583A">
        <w:rPr>
          <w:rFonts w:hint="eastAsia"/>
          <w:b/>
          <w:bCs/>
          <w:sz w:val="28"/>
          <w:szCs w:val="24"/>
        </w:rPr>
        <w:t>評鑑並遴選關鍵人才</w:t>
      </w:r>
    </w:p>
    <w:p w14:paraId="70FC1AA7" w14:textId="77777777" w:rsidR="0082583A" w:rsidRDefault="0082583A" w:rsidP="0082583A">
      <w:pPr>
        <w:spacing w:line="360" w:lineRule="auto"/>
        <w:rPr>
          <w:rFonts w:hint="eastAsia"/>
        </w:rPr>
      </w:pPr>
      <w:r>
        <w:rPr>
          <w:rFonts w:hint="eastAsia"/>
        </w:rPr>
        <w:t>公司規劃重要管理階層的接班人，必須具備誠信正直、勇於承擔和積極創新的特質，並秉持「技術惟新、</w:t>
      </w:r>
      <w:proofErr w:type="gramStart"/>
      <w:r>
        <w:rPr>
          <w:rFonts w:hint="eastAsia"/>
        </w:rPr>
        <w:t>品質惟精</w:t>
      </w:r>
      <w:proofErr w:type="gramEnd"/>
      <w:r>
        <w:rPr>
          <w:rFonts w:hint="eastAsia"/>
        </w:rPr>
        <w:t>、</w:t>
      </w:r>
      <w:proofErr w:type="gramStart"/>
      <w:r>
        <w:rPr>
          <w:rFonts w:hint="eastAsia"/>
        </w:rPr>
        <w:t>服務惟心</w:t>
      </w:r>
      <w:proofErr w:type="gramEnd"/>
      <w:r>
        <w:rPr>
          <w:rFonts w:hint="eastAsia"/>
        </w:rPr>
        <w:t>」的核心價值，持續滿足客戶需求，確保每</w:t>
      </w:r>
      <w:proofErr w:type="gramStart"/>
      <w:r>
        <w:rPr>
          <w:rFonts w:hint="eastAsia"/>
        </w:rPr>
        <w:t>個</w:t>
      </w:r>
      <w:proofErr w:type="gramEnd"/>
      <w:r>
        <w:rPr>
          <w:rFonts w:hint="eastAsia"/>
        </w:rPr>
        <w:t>專案的成功。我們的人力資源部門統籌建置人才發展機制，與高階經理人共同定義關鍵職位，透過職位檔案和相關工具的評估和衡量，在一系列的評鑑後，篩選出具有潛力的重要管理階層接班人。為了實現職</w:t>
      </w:r>
      <w:proofErr w:type="gramStart"/>
      <w:r>
        <w:rPr>
          <w:rFonts w:hint="eastAsia"/>
        </w:rPr>
        <w:t>涯</w:t>
      </w:r>
      <w:proofErr w:type="gramEnd"/>
      <w:r>
        <w:rPr>
          <w:rFonts w:hint="eastAsia"/>
        </w:rPr>
        <w:t>發展和個人發展的雙贏，我們也推動接班人的個人發展計畫（</w:t>
      </w:r>
      <w:r>
        <w:rPr>
          <w:rFonts w:hint="eastAsia"/>
        </w:rPr>
        <w:t>Individual Development Plan, IDP</w:t>
      </w:r>
      <w:r>
        <w:rPr>
          <w:rFonts w:hint="eastAsia"/>
        </w:rPr>
        <w:t>），並確保</w:t>
      </w:r>
      <w:r>
        <w:rPr>
          <w:rFonts w:hint="eastAsia"/>
        </w:rPr>
        <w:t>100%</w:t>
      </w:r>
      <w:r>
        <w:rPr>
          <w:rFonts w:hint="eastAsia"/>
        </w:rPr>
        <w:t>的執行。在未來，我們將持續關注，包括定期的評估和反饋，以確保接班人的發展和進程能保持在正確的軌道上。</w:t>
      </w:r>
    </w:p>
    <w:p w14:paraId="12975C67" w14:textId="77777777" w:rsidR="0082583A" w:rsidRDefault="0082583A" w:rsidP="0082583A">
      <w:pPr>
        <w:spacing w:line="360" w:lineRule="auto"/>
      </w:pPr>
    </w:p>
    <w:p w14:paraId="53C085E7" w14:textId="77777777" w:rsidR="0082583A" w:rsidRPr="0082583A" w:rsidRDefault="0082583A" w:rsidP="0082583A">
      <w:pPr>
        <w:spacing w:line="360" w:lineRule="auto"/>
        <w:rPr>
          <w:rFonts w:hint="eastAsia"/>
          <w:b/>
          <w:bCs/>
          <w:sz w:val="28"/>
          <w:szCs w:val="24"/>
        </w:rPr>
      </w:pPr>
      <w:r w:rsidRPr="0082583A">
        <w:rPr>
          <w:rFonts w:hint="eastAsia"/>
          <w:b/>
          <w:bCs/>
          <w:sz w:val="28"/>
          <w:szCs w:val="24"/>
        </w:rPr>
        <w:t>打造卓越的領導團隊</w:t>
      </w:r>
    </w:p>
    <w:p w14:paraId="1BDDC863" w14:textId="77777777" w:rsidR="0082583A" w:rsidRDefault="0082583A" w:rsidP="0082583A">
      <w:pPr>
        <w:spacing w:line="360" w:lineRule="auto"/>
        <w:rPr>
          <w:rFonts w:hint="eastAsia"/>
        </w:rPr>
      </w:pPr>
      <w:r>
        <w:rPr>
          <w:rFonts w:hint="eastAsia"/>
        </w:rPr>
        <w:t>在培育重要管理階層時，我們特別重視實務經驗。除了參與多項跨部門的專案任務以達成公司目標外，他們也需要定期參加高階主管的經營會議和策略會議，以培養他們在工作中的全面策略思考和經營管理能力。</w:t>
      </w:r>
      <w:proofErr w:type="gramStart"/>
      <w:r>
        <w:rPr>
          <w:rFonts w:hint="eastAsia"/>
        </w:rPr>
        <w:t>此外，</w:t>
      </w:r>
      <w:proofErr w:type="gramEnd"/>
      <w:r>
        <w:rPr>
          <w:rFonts w:hint="eastAsia"/>
        </w:rPr>
        <w:t>我們每年進行績效評估，以檢視重要管理階層工作成果，並根據此規劃專案工作、工作輪調或外派等個人發展計畫，同時將績效成果作為晉升和薪資報酬的參考依據。</w:t>
      </w:r>
    </w:p>
    <w:p w14:paraId="265D2CCC" w14:textId="77777777" w:rsidR="0082583A" w:rsidRDefault="0082583A" w:rsidP="0082583A">
      <w:pPr>
        <w:spacing w:line="360" w:lineRule="auto"/>
      </w:pPr>
    </w:p>
    <w:p w14:paraId="5F8C55BD" w14:textId="77777777" w:rsidR="0082583A" w:rsidRDefault="0082583A" w:rsidP="0082583A">
      <w:pPr>
        <w:spacing w:line="360" w:lineRule="auto"/>
        <w:rPr>
          <w:rFonts w:hint="eastAsia"/>
        </w:rPr>
      </w:pPr>
      <w:r>
        <w:rPr>
          <w:rFonts w:hint="eastAsia"/>
        </w:rPr>
        <w:t>我們也聘請具有豐富產業經驗的資深顧問，與重要管理階層進行專業的教練指導。透過資深顧問長達半年以上的一對</w:t>
      </w:r>
      <w:proofErr w:type="gramStart"/>
      <w:r>
        <w:rPr>
          <w:rFonts w:hint="eastAsia"/>
        </w:rPr>
        <w:t>一</w:t>
      </w:r>
      <w:proofErr w:type="gramEnd"/>
      <w:r>
        <w:rPr>
          <w:rFonts w:hint="eastAsia"/>
        </w:rPr>
        <w:t>教練，重要管理階層除了公司經營目標外，也在領導經驗的分享和交流中，達到商業視野與自主發展等多方面的提升，輔助其有效提升接班能力。</w:t>
      </w:r>
    </w:p>
    <w:p w14:paraId="25C22661" w14:textId="77777777" w:rsidR="0082583A" w:rsidRDefault="0082583A" w:rsidP="0082583A">
      <w:pPr>
        <w:spacing w:line="360" w:lineRule="auto"/>
      </w:pPr>
    </w:p>
    <w:p w14:paraId="24470E3D" w14:textId="77777777" w:rsidR="0082583A" w:rsidRPr="0082583A" w:rsidRDefault="0082583A" w:rsidP="0082583A">
      <w:pPr>
        <w:spacing w:line="360" w:lineRule="auto"/>
        <w:rPr>
          <w:rFonts w:hint="eastAsia"/>
          <w:b/>
          <w:bCs/>
          <w:sz w:val="28"/>
          <w:szCs w:val="24"/>
        </w:rPr>
      </w:pPr>
      <w:r w:rsidRPr="0082583A">
        <w:rPr>
          <w:rFonts w:hint="eastAsia"/>
          <w:b/>
          <w:bCs/>
          <w:sz w:val="28"/>
          <w:szCs w:val="24"/>
        </w:rPr>
        <w:t>精心設計的領導課程</w:t>
      </w:r>
    </w:p>
    <w:p w14:paraId="54F9FA13" w14:textId="77777777" w:rsidR="0082583A" w:rsidRDefault="0082583A" w:rsidP="0082583A">
      <w:pPr>
        <w:spacing w:line="360" w:lineRule="auto"/>
        <w:rPr>
          <w:rFonts w:hint="eastAsia"/>
        </w:rPr>
      </w:pPr>
      <w:r>
        <w:rPr>
          <w:rFonts w:hint="eastAsia"/>
        </w:rPr>
        <w:t>人力資源部門每年根據組織策略和領導職能，精心規劃主管的訓練課程。在</w:t>
      </w:r>
      <w:r>
        <w:rPr>
          <w:rFonts w:hint="eastAsia"/>
        </w:rPr>
        <w:t>2023</w:t>
      </w:r>
      <w:r>
        <w:rPr>
          <w:rFonts w:hint="eastAsia"/>
        </w:rPr>
        <w:t>年，我們的潛力接班人選已經</w:t>
      </w:r>
      <w:r>
        <w:rPr>
          <w:rFonts w:hint="eastAsia"/>
        </w:rPr>
        <w:t>100%</w:t>
      </w:r>
      <w:r>
        <w:rPr>
          <w:rFonts w:hint="eastAsia"/>
        </w:rPr>
        <w:t>完成必修的領導類課程。</w:t>
      </w:r>
      <w:proofErr w:type="gramStart"/>
      <w:r>
        <w:rPr>
          <w:rFonts w:hint="eastAsia"/>
        </w:rPr>
        <w:t>此外，</w:t>
      </w:r>
      <w:proofErr w:type="gramEnd"/>
      <w:r>
        <w:rPr>
          <w:rFonts w:hint="eastAsia"/>
        </w:rPr>
        <w:t>我們特別安排潛力接班人和重要管理階層共同參與「個人發展工作坊」，以促進發展部屬與發展自我的交流傳承，聚焦職</w:t>
      </w:r>
      <w:proofErr w:type="gramStart"/>
      <w:r>
        <w:rPr>
          <w:rFonts w:hint="eastAsia"/>
        </w:rPr>
        <w:t>涯</w:t>
      </w:r>
      <w:proofErr w:type="gramEnd"/>
      <w:r>
        <w:rPr>
          <w:rFonts w:hint="eastAsia"/>
        </w:rPr>
        <w:t>和個人發展的雙贏。對於不同的重要管理階層，我們亦安排前瞻技術專業課程或個人效能課程。這些依計畫安排之多元化課程，旨在強化未來經營團隊，讓管理梯隊具備更全面的能力。</w:t>
      </w:r>
    </w:p>
    <w:p w14:paraId="14FB826C" w14:textId="77777777" w:rsidR="0082583A" w:rsidRDefault="0082583A" w:rsidP="0082583A">
      <w:pPr>
        <w:spacing w:line="360" w:lineRule="auto"/>
      </w:pPr>
    </w:p>
    <w:p w14:paraId="0FC722B5" w14:textId="77777777" w:rsidR="0082583A" w:rsidRDefault="0082583A" w:rsidP="0082583A">
      <w:pPr>
        <w:spacing w:line="360" w:lineRule="auto"/>
        <w:rPr>
          <w:rFonts w:hint="eastAsia"/>
        </w:rPr>
      </w:pPr>
      <w:r>
        <w:rPr>
          <w:rFonts w:hint="eastAsia"/>
        </w:rPr>
        <w:t>透過以上全方位的專業能力和管理能力的訓練和發展，我們能持續增強和培養重要管理階層的決策和判斷能力，確保公司擁有高品質和充足的人才庫，形成高階領導團隊的接班梯隊。</w:t>
      </w:r>
    </w:p>
    <w:p w14:paraId="658B3971" w14:textId="77777777" w:rsidR="0082583A" w:rsidRDefault="0082583A" w:rsidP="0082583A">
      <w:pPr>
        <w:spacing w:line="360" w:lineRule="auto"/>
        <w:rPr>
          <w:rFonts w:hint="eastAsia"/>
        </w:rPr>
      </w:pPr>
      <w:r>
        <w:rPr>
          <w:rFonts w:hint="eastAsia"/>
        </w:rPr>
        <w:t>接班人規劃體現了公司治理的重要性，它不僅是對未來的承諾，也是對公司治理和持續發展的承諾。我們將持續培育卓越的領導者，並延續推動公司政策的實踐。</w:t>
      </w:r>
    </w:p>
    <w:p w14:paraId="29278D07" w14:textId="77777777" w:rsidR="0082583A" w:rsidRDefault="0082583A" w:rsidP="0082583A">
      <w:pPr>
        <w:spacing w:line="360" w:lineRule="auto"/>
      </w:pPr>
    </w:p>
    <w:p w14:paraId="649726DE" w14:textId="77777777" w:rsidR="0082583A" w:rsidRPr="0082583A" w:rsidRDefault="0082583A" w:rsidP="0082583A">
      <w:pPr>
        <w:spacing w:line="360" w:lineRule="auto"/>
        <w:rPr>
          <w:rFonts w:hint="eastAsia"/>
        </w:rPr>
      </w:pPr>
    </w:p>
    <w:sectPr w:rsidR="0082583A" w:rsidRPr="0082583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6629" w14:textId="77777777" w:rsidR="003C2C3D" w:rsidRDefault="003C2C3D" w:rsidP="003C2C3D">
      <w:r>
        <w:separator/>
      </w:r>
    </w:p>
  </w:endnote>
  <w:endnote w:type="continuationSeparator" w:id="0">
    <w:p w14:paraId="4353275D" w14:textId="77777777" w:rsidR="003C2C3D" w:rsidRDefault="003C2C3D" w:rsidP="003C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966E7" w14:textId="77777777" w:rsidR="003C2C3D" w:rsidRDefault="003C2C3D" w:rsidP="003C2C3D">
      <w:r>
        <w:separator/>
      </w:r>
    </w:p>
  </w:footnote>
  <w:footnote w:type="continuationSeparator" w:id="0">
    <w:p w14:paraId="527D5C2B" w14:textId="77777777" w:rsidR="003C2C3D" w:rsidRDefault="003C2C3D" w:rsidP="003C2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7A"/>
    <w:rsid w:val="003C2C3D"/>
    <w:rsid w:val="004443E1"/>
    <w:rsid w:val="004B4686"/>
    <w:rsid w:val="0081317A"/>
    <w:rsid w:val="0082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8508"/>
  <w15:chartTrackingRefBased/>
  <w15:docId w15:val="{7B4A04CE-B74E-4388-BB4D-E5CE963D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C3D"/>
    <w:pPr>
      <w:tabs>
        <w:tab w:val="center" w:pos="4153"/>
        <w:tab w:val="right" w:pos="8306"/>
      </w:tabs>
      <w:snapToGrid w:val="0"/>
    </w:pPr>
    <w:rPr>
      <w:sz w:val="20"/>
      <w:szCs w:val="20"/>
    </w:rPr>
  </w:style>
  <w:style w:type="character" w:customStyle="1" w:styleId="a4">
    <w:name w:val="頁首 字元"/>
    <w:basedOn w:val="a0"/>
    <w:link w:val="a3"/>
    <w:uiPriority w:val="99"/>
    <w:rsid w:val="003C2C3D"/>
    <w:rPr>
      <w:sz w:val="20"/>
      <w:szCs w:val="20"/>
    </w:rPr>
  </w:style>
  <w:style w:type="paragraph" w:styleId="a5">
    <w:name w:val="footer"/>
    <w:basedOn w:val="a"/>
    <w:link w:val="a6"/>
    <w:uiPriority w:val="99"/>
    <w:unhideWhenUsed/>
    <w:rsid w:val="003C2C3D"/>
    <w:pPr>
      <w:tabs>
        <w:tab w:val="center" w:pos="4153"/>
        <w:tab w:val="right" w:pos="8306"/>
      </w:tabs>
      <w:snapToGrid w:val="0"/>
    </w:pPr>
    <w:rPr>
      <w:sz w:val="20"/>
      <w:szCs w:val="20"/>
    </w:rPr>
  </w:style>
  <w:style w:type="character" w:customStyle="1" w:styleId="a6">
    <w:name w:val="頁尾 字元"/>
    <w:basedOn w:val="a0"/>
    <w:link w:val="a5"/>
    <w:uiPriority w:val="99"/>
    <w:rsid w:val="003C2C3D"/>
    <w:rPr>
      <w:sz w:val="20"/>
      <w:szCs w:val="20"/>
    </w:rPr>
  </w:style>
  <w:style w:type="table" w:styleId="a7">
    <w:name w:val="Table Grid"/>
    <w:basedOn w:val="a1"/>
    <w:uiPriority w:val="39"/>
    <w:rsid w:val="00825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1783</Characters>
  <Application>Microsoft Office Word</Application>
  <DocSecurity>0</DocSecurity>
  <Lines>14</Lines>
  <Paragraphs>4</Paragraphs>
  <ScaleCrop>false</ScaleCrop>
  <Company>GUC</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4</cp:revision>
  <dcterms:created xsi:type="dcterms:W3CDTF">2025-01-14T09:40:00Z</dcterms:created>
  <dcterms:modified xsi:type="dcterms:W3CDTF">2025-01-14T09:47:00Z</dcterms:modified>
</cp:coreProperties>
</file>