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85C2" w14:textId="77777777" w:rsidR="00274C84" w:rsidRPr="00274C84" w:rsidRDefault="00274C84" w:rsidP="00274C84">
      <w:pPr>
        <w:spacing w:line="360" w:lineRule="auto"/>
        <w:rPr>
          <w:rFonts w:hint="eastAsia"/>
          <w:b/>
          <w:bCs/>
          <w:sz w:val="32"/>
          <w:szCs w:val="28"/>
        </w:rPr>
      </w:pPr>
      <w:r w:rsidRPr="00274C84">
        <w:rPr>
          <w:rFonts w:hint="eastAsia"/>
          <w:b/>
          <w:bCs/>
          <w:sz w:val="32"/>
          <w:szCs w:val="28"/>
        </w:rPr>
        <w:t>董事酬金</w:t>
      </w:r>
    </w:p>
    <w:p w14:paraId="42FA1BF9" w14:textId="77777777" w:rsidR="00274C84" w:rsidRDefault="00274C84" w:rsidP="00274C84">
      <w:pPr>
        <w:spacing w:line="360" w:lineRule="auto"/>
        <w:rPr>
          <w:rFonts w:hint="eastAsia"/>
        </w:rPr>
      </w:pPr>
      <w:r>
        <w:rPr>
          <w:rFonts w:hint="eastAsia"/>
        </w:rPr>
        <w:t>本公司董事薪資報酬結構，包含每月固定報酬及依公司章程訂定之董事酬勞。每月固定報酬由薪酬委員會每年檢視業界水準，若有更動建議，則提請董事會決議。獨立董事及非兼任經理人之董事其酬勞總額則依公司章程規定為不超過當年度獲利的</w:t>
      </w:r>
      <w:r>
        <w:rPr>
          <w:rFonts w:hint="eastAsia"/>
        </w:rPr>
        <w:t>2%</w:t>
      </w:r>
      <w:r>
        <w:rPr>
          <w:rFonts w:hint="eastAsia"/>
        </w:rPr>
        <w:t>為原則，報酬支付標準依公司經營績效進行調整，並按各席董事任職天數比例分配之。</w:t>
      </w:r>
    </w:p>
    <w:p w14:paraId="100FF7A7" w14:textId="77777777" w:rsidR="00274C84" w:rsidRDefault="00274C84" w:rsidP="00274C84">
      <w:pPr>
        <w:spacing w:line="360" w:lineRule="auto"/>
        <w:rPr>
          <w:rFonts w:hint="eastAsia"/>
        </w:rPr>
      </w:pPr>
      <w:r>
        <w:rPr>
          <w:rFonts w:hint="eastAsia"/>
        </w:rPr>
        <w:t>本公司董事酬金支付標準依「董事會暨功能性委員會績效評估辦法」定期評估，董事長之績效衡量標準係以年度公司經營指標結果</w:t>
      </w:r>
      <w:r>
        <w:rPr>
          <w:rFonts w:hint="eastAsia"/>
        </w:rPr>
        <w:t>(</w:t>
      </w:r>
      <w:r>
        <w:rPr>
          <w:rFonts w:hint="eastAsia"/>
        </w:rPr>
        <w:t>主要為年度獲利情形</w:t>
      </w:r>
      <w:r>
        <w:rPr>
          <w:rFonts w:hint="eastAsia"/>
        </w:rPr>
        <w:t>)</w:t>
      </w:r>
      <w:r>
        <w:rPr>
          <w:rFonts w:hint="eastAsia"/>
        </w:rPr>
        <w:t>為衡量基礎，董事成員之績效衡量標準則包含持續進修情形、對公司營運的參與程度</w:t>
      </w:r>
      <w:r>
        <w:rPr>
          <w:rFonts w:hint="eastAsia"/>
        </w:rPr>
        <w:t>(</w:t>
      </w:r>
      <w:r>
        <w:rPr>
          <w:rFonts w:hint="eastAsia"/>
        </w:rPr>
        <w:t>如董事會出席率</w:t>
      </w:r>
      <w:r>
        <w:rPr>
          <w:rFonts w:hint="eastAsia"/>
        </w:rPr>
        <w:t>)</w:t>
      </w:r>
      <w:r>
        <w:rPr>
          <w:rFonts w:hint="eastAsia"/>
        </w:rPr>
        <w:t>以及對本公司短中長期目標的掌握度。</w:t>
      </w:r>
    </w:p>
    <w:p w14:paraId="4F9C6D20" w14:textId="77777777" w:rsidR="00274C84" w:rsidRDefault="00274C84" w:rsidP="00274C84">
      <w:pPr>
        <w:spacing w:line="360" w:lineRule="auto"/>
        <w:rPr>
          <w:rFonts w:hint="eastAsia"/>
        </w:rPr>
      </w:pPr>
      <w:r>
        <w:rPr>
          <w:rFonts w:hint="eastAsia"/>
        </w:rPr>
        <w:t>相關績效考核</w:t>
      </w:r>
      <w:proofErr w:type="gramStart"/>
      <w:r>
        <w:rPr>
          <w:rFonts w:hint="eastAsia"/>
        </w:rPr>
        <w:t>以及薪</w:t>
      </w:r>
      <w:proofErr w:type="gramEnd"/>
      <w:r>
        <w:rPr>
          <w:rFonts w:hint="eastAsia"/>
        </w:rPr>
        <w:t>酬合理</w:t>
      </w:r>
      <w:proofErr w:type="gramStart"/>
      <w:r>
        <w:rPr>
          <w:rFonts w:hint="eastAsia"/>
        </w:rPr>
        <w:t>性均經薪資</w:t>
      </w:r>
      <w:proofErr w:type="gramEnd"/>
      <w:r>
        <w:rPr>
          <w:rFonts w:hint="eastAsia"/>
        </w:rPr>
        <w:t>報酬委員會及董事會審核。</w:t>
      </w:r>
    </w:p>
    <w:p w14:paraId="3F134BF4" w14:textId="77777777" w:rsidR="00274C84" w:rsidRDefault="00274C84" w:rsidP="00274C84">
      <w:pPr>
        <w:spacing w:line="360" w:lineRule="auto"/>
      </w:pPr>
    </w:p>
    <w:p w14:paraId="6255959F" w14:textId="77777777" w:rsidR="00274C84" w:rsidRDefault="00274C84" w:rsidP="00274C84">
      <w:pPr>
        <w:spacing w:line="360" w:lineRule="auto"/>
      </w:pPr>
      <w:r>
        <w:t xml:space="preserve"> </w:t>
      </w:r>
    </w:p>
    <w:p w14:paraId="0859E7A1" w14:textId="77777777" w:rsidR="00274C84" w:rsidRDefault="00274C84" w:rsidP="00274C84">
      <w:pPr>
        <w:spacing w:line="360" w:lineRule="auto"/>
      </w:pPr>
    </w:p>
    <w:p w14:paraId="7C17D06B" w14:textId="77777777" w:rsidR="00274C84" w:rsidRPr="00274C84" w:rsidRDefault="00274C84" w:rsidP="00274C84">
      <w:pPr>
        <w:spacing w:line="360" w:lineRule="auto"/>
        <w:rPr>
          <w:rFonts w:hint="eastAsia"/>
          <w:b/>
          <w:bCs/>
          <w:sz w:val="32"/>
          <w:szCs w:val="28"/>
        </w:rPr>
      </w:pPr>
      <w:r w:rsidRPr="00274C84">
        <w:rPr>
          <w:rFonts w:hint="eastAsia"/>
          <w:b/>
          <w:bCs/>
          <w:sz w:val="32"/>
          <w:szCs w:val="28"/>
        </w:rPr>
        <w:t>經理人酬金</w:t>
      </w:r>
    </w:p>
    <w:p w14:paraId="38A39D45" w14:textId="77777777" w:rsidR="00274C84" w:rsidRDefault="00274C84" w:rsidP="00274C84">
      <w:pPr>
        <w:spacing w:line="360" w:lineRule="auto"/>
        <w:rPr>
          <w:rFonts w:hint="eastAsia"/>
        </w:rPr>
      </w:pPr>
      <w:r>
        <w:rPr>
          <w:rFonts w:hint="eastAsia"/>
        </w:rPr>
        <w:t>本公司各項酬金以體恤及獎勵經理人在工作上的付出為原則，同時亦視本公司年度績效、營運狀況及個人工作績效核給。本公司經理人分派之酬勞比例以不超過當年度獲利</w:t>
      </w:r>
      <w:r>
        <w:rPr>
          <w:rFonts w:hint="eastAsia"/>
        </w:rPr>
        <w:t>4%</w:t>
      </w:r>
      <w:r>
        <w:rPr>
          <w:rFonts w:hint="eastAsia"/>
        </w:rPr>
        <w:t>，做為經理人薪資報酬之原則。經理人績效評估項目每年訂定，主要除財務性之營收獲利目標達成率以及成本費用控管</w:t>
      </w:r>
      <w:proofErr w:type="gramStart"/>
      <w:r>
        <w:rPr>
          <w:rFonts w:hint="eastAsia"/>
        </w:rPr>
        <w:t>達成率外</w:t>
      </w:r>
      <w:proofErr w:type="gramEnd"/>
      <w:r>
        <w:rPr>
          <w:rFonts w:hint="eastAsia"/>
        </w:rPr>
        <w:t>，尚包含非財務性之指標如研發計畫藍圖、利害關係人滿意度及永續經營之參與等，績效評估項目隨時視實際營運狀況及相關法令適時檢討。</w:t>
      </w:r>
    </w:p>
    <w:p w14:paraId="3BC2321C" w14:textId="77D53867" w:rsidR="004B4686" w:rsidRDefault="00274C84" w:rsidP="00274C84">
      <w:pPr>
        <w:spacing w:line="360" w:lineRule="auto"/>
      </w:pPr>
      <w:r>
        <w:rPr>
          <w:rFonts w:hint="eastAsia"/>
        </w:rPr>
        <w:t>相關績效考核</w:t>
      </w:r>
      <w:proofErr w:type="gramStart"/>
      <w:r>
        <w:rPr>
          <w:rFonts w:hint="eastAsia"/>
        </w:rPr>
        <w:t>以及薪</w:t>
      </w:r>
      <w:proofErr w:type="gramEnd"/>
      <w:r>
        <w:rPr>
          <w:rFonts w:hint="eastAsia"/>
        </w:rPr>
        <w:t>酬合理</w:t>
      </w:r>
      <w:proofErr w:type="gramStart"/>
      <w:r>
        <w:rPr>
          <w:rFonts w:hint="eastAsia"/>
        </w:rPr>
        <w:t>性均經薪資</w:t>
      </w:r>
      <w:proofErr w:type="gramEnd"/>
      <w:r>
        <w:rPr>
          <w:rFonts w:hint="eastAsia"/>
        </w:rPr>
        <w:t>報酬委員會及董事會審核。</w:t>
      </w:r>
    </w:p>
    <w:sectPr w:rsidR="004B46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DE6E" w14:textId="77777777" w:rsidR="00274C84" w:rsidRDefault="00274C84" w:rsidP="00274C84">
      <w:r>
        <w:separator/>
      </w:r>
    </w:p>
  </w:endnote>
  <w:endnote w:type="continuationSeparator" w:id="0">
    <w:p w14:paraId="64DFE7EE" w14:textId="77777777" w:rsidR="00274C84" w:rsidRDefault="00274C84" w:rsidP="0027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1C46" w14:textId="77777777" w:rsidR="00274C84" w:rsidRDefault="00274C84" w:rsidP="00274C84">
      <w:r>
        <w:separator/>
      </w:r>
    </w:p>
  </w:footnote>
  <w:footnote w:type="continuationSeparator" w:id="0">
    <w:p w14:paraId="666F2278" w14:textId="77777777" w:rsidR="00274C84" w:rsidRDefault="00274C84" w:rsidP="0027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A3"/>
    <w:rsid w:val="000811A3"/>
    <w:rsid w:val="00274C84"/>
    <w:rsid w:val="004B46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E1CE1D8-6970-47CB-B721-390B3A25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C84"/>
    <w:pPr>
      <w:tabs>
        <w:tab w:val="center" w:pos="4153"/>
        <w:tab w:val="right" w:pos="8306"/>
      </w:tabs>
      <w:snapToGrid w:val="0"/>
    </w:pPr>
    <w:rPr>
      <w:sz w:val="20"/>
      <w:szCs w:val="20"/>
    </w:rPr>
  </w:style>
  <w:style w:type="character" w:customStyle="1" w:styleId="a4">
    <w:name w:val="頁首 字元"/>
    <w:basedOn w:val="a0"/>
    <w:link w:val="a3"/>
    <w:uiPriority w:val="99"/>
    <w:rsid w:val="00274C84"/>
    <w:rPr>
      <w:sz w:val="20"/>
      <w:szCs w:val="20"/>
    </w:rPr>
  </w:style>
  <w:style w:type="paragraph" w:styleId="a5">
    <w:name w:val="footer"/>
    <w:basedOn w:val="a"/>
    <w:link w:val="a6"/>
    <w:uiPriority w:val="99"/>
    <w:unhideWhenUsed/>
    <w:rsid w:val="00274C84"/>
    <w:pPr>
      <w:tabs>
        <w:tab w:val="center" w:pos="4153"/>
        <w:tab w:val="right" w:pos="8306"/>
      </w:tabs>
      <w:snapToGrid w:val="0"/>
    </w:pPr>
    <w:rPr>
      <w:sz w:val="20"/>
      <w:szCs w:val="20"/>
    </w:rPr>
  </w:style>
  <w:style w:type="character" w:customStyle="1" w:styleId="a6">
    <w:name w:val="頁尾 字元"/>
    <w:basedOn w:val="a0"/>
    <w:link w:val="a5"/>
    <w:uiPriority w:val="99"/>
    <w:rsid w:val="00274C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Company>GUC</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2025-01-14T09:39:00Z</dcterms:created>
  <dcterms:modified xsi:type="dcterms:W3CDTF">2025-01-14T09:40:00Z</dcterms:modified>
</cp:coreProperties>
</file>