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301B1" w14:textId="498C5B9C" w:rsidR="00AA7817" w:rsidRPr="000B4C75" w:rsidRDefault="000B4C75" w:rsidP="00AA7817">
      <w:pPr>
        <w:pStyle w:val="a3"/>
        <w:numPr>
          <w:ilvl w:val="0"/>
          <w:numId w:val="13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0B4C75">
        <w:rPr>
          <w:rFonts w:ascii="Arial" w:eastAsia="微軟正黑體" w:hAnsi="Arial" w:cs="Arial"/>
          <w:b/>
          <w:szCs w:val="24"/>
        </w:rPr>
        <w:t>通過科學</w:t>
      </w:r>
      <w:proofErr w:type="gramStart"/>
      <w:r w:rsidRPr="000B4C75">
        <w:rPr>
          <w:rFonts w:ascii="Arial" w:eastAsia="微軟正黑體" w:hAnsi="Arial" w:cs="Arial"/>
          <w:b/>
          <w:szCs w:val="24"/>
        </w:rPr>
        <w:t>基礎減碳目標</w:t>
      </w:r>
      <w:proofErr w:type="gramEnd"/>
      <w:r w:rsidRPr="000B4C75">
        <w:rPr>
          <w:rFonts w:ascii="Arial" w:eastAsia="微軟正黑體" w:hAnsi="Arial" w:cs="Arial"/>
          <w:b/>
          <w:szCs w:val="24"/>
        </w:rPr>
        <w:t>倡議</w:t>
      </w:r>
      <w:r w:rsidRPr="000B4C75">
        <w:rPr>
          <w:rFonts w:ascii="Arial" w:eastAsia="微軟正黑體" w:hAnsi="Arial" w:cs="Arial"/>
          <w:b/>
          <w:szCs w:val="24"/>
        </w:rPr>
        <w:t>(</w:t>
      </w:r>
      <w:proofErr w:type="spellStart"/>
      <w:r w:rsidR="00AA7817" w:rsidRPr="000B4C75">
        <w:rPr>
          <w:rFonts w:ascii="Arial" w:eastAsia="微軟正黑體" w:hAnsi="Arial" w:cs="Arial"/>
          <w:b/>
          <w:szCs w:val="24"/>
        </w:rPr>
        <w:t>SBTi</w:t>
      </w:r>
      <w:proofErr w:type="spellEnd"/>
      <w:r w:rsidRPr="000B4C75">
        <w:rPr>
          <w:rFonts w:ascii="Arial" w:eastAsia="微軟正黑體" w:hAnsi="Arial" w:cs="Arial"/>
          <w:b/>
          <w:szCs w:val="24"/>
        </w:rPr>
        <w:t>)</w:t>
      </w:r>
      <w:r w:rsidR="00AA7817" w:rsidRPr="000B4C75">
        <w:rPr>
          <w:rFonts w:ascii="Arial" w:eastAsia="微軟正黑體" w:hAnsi="Arial" w:cs="Arial"/>
          <w:b/>
          <w:szCs w:val="24"/>
        </w:rPr>
        <w:t>目標審核</w:t>
      </w:r>
    </w:p>
    <w:p w14:paraId="5E54AD40" w14:textId="41A3B1C5" w:rsidR="000B4C75" w:rsidRPr="000B4C75" w:rsidRDefault="000B4C75" w:rsidP="000B4C75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szCs w:val="24"/>
        </w:rPr>
      </w:pPr>
      <w:r w:rsidRPr="000B4C75">
        <w:rPr>
          <w:rFonts w:ascii="Arial" w:eastAsia="微軟正黑體" w:hAnsi="Arial" w:cs="Arial"/>
          <w:szCs w:val="24"/>
        </w:rPr>
        <w:t>科學</w:t>
      </w:r>
      <w:proofErr w:type="gramStart"/>
      <w:r w:rsidRPr="000B4C75">
        <w:rPr>
          <w:rFonts w:ascii="Arial" w:eastAsia="微軟正黑體" w:hAnsi="Arial" w:cs="Arial"/>
          <w:szCs w:val="24"/>
        </w:rPr>
        <w:t>基礎減碳目標</w:t>
      </w:r>
      <w:proofErr w:type="gramEnd"/>
      <w:r w:rsidRPr="000B4C75">
        <w:rPr>
          <w:rFonts w:ascii="Arial" w:eastAsia="微軟正黑體" w:hAnsi="Arial" w:cs="Arial"/>
          <w:szCs w:val="24"/>
        </w:rPr>
        <w:t>倡議（</w:t>
      </w:r>
      <w:proofErr w:type="spellStart"/>
      <w:r w:rsidRPr="000B4C75">
        <w:rPr>
          <w:rFonts w:ascii="Arial" w:eastAsia="微軟正黑體" w:hAnsi="Arial" w:cs="Arial"/>
          <w:szCs w:val="24"/>
        </w:rPr>
        <w:t>SBTi</w:t>
      </w:r>
      <w:proofErr w:type="spellEnd"/>
      <w:r w:rsidRPr="000B4C75">
        <w:rPr>
          <w:rFonts w:ascii="Arial" w:eastAsia="微軟正黑體" w:hAnsi="Arial" w:cs="Arial"/>
          <w:szCs w:val="24"/>
        </w:rPr>
        <w:t>）於</w:t>
      </w:r>
      <w:r w:rsidRPr="000B4C75">
        <w:rPr>
          <w:rFonts w:ascii="Arial" w:eastAsia="微軟正黑體" w:hAnsi="Arial" w:cs="Arial"/>
          <w:szCs w:val="24"/>
        </w:rPr>
        <w:t>2024</w:t>
      </w:r>
      <w:r w:rsidRPr="000B4C75">
        <w:rPr>
          <w:rFonts w:ascii="Arial" w:eastAsia="微軟正黑體" w:hAnsi="Arial" w:cs="Arial"/>
          <w:szCs w:val="24"/>
        </w:rPr>
        <w:t>年</w:t>
      </w:r>
      <w:r w:rsidRPr="000B4C75">
        <w:rPr>
          <w:rFonts w:ascii="Arial" w:eastAsia="微軟正黑體" w:hAnsi="Arial" w:cs="Arial"/>
          <w:szCs w:val="24"/>
        </w:rPr>
        <w:t>5</w:t>
      </w:r>
      <w:r>
        <w:rPr>
          <w:rFonts w:ascii="Arial" w:eastAsia="微軟正黑體" w:hAnsi="Arial" w:cs="Arial"/>
          <w:szCs w:val="24"/>
        </w:rPr>
        <w:t>月審核通過創意電子提交的科學</w:t>
      </w:r>
      <w:proofErr w:type="gramStart"/>
      <w:r>
        <w:rPr>
          <w:rFonts w:ascii="Arial" w:eastAsia="微軟正黑體" w:hAnsi="Arial" w:cs="Arial"/>
          <w:szCs w:val="24"/>
        </w:rPr>
        <w:t>基礎減碳目標</w:t>
      </w:r>
      <w:proofErr w:type="gramEnd"/>
      <w:r>
        <w:rPr>
          <w:rFonts w:ascii="Arial" w:eastAsia="微軟正黑體" w:hAnsi="Arial" w:cs="Arial" w:hint="eastAsia"/>
          <w:szCs w:val="24"/>
        </w:rPr>
        <w:t>。</w:t>
      </w:r>
    </w:p>
    <w:p w14:paraId="71875C85" w14:textId="46D31AF1" w:rsidR="000B4C75" w:rsidRPr="000B4C75" w:rsidRDefault="000B4C75" w:rsidP="000B4C75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proofErr w:type="spellStart"/>
      <w:r>
        <w:rPr>
          <w:rFonts w:ascii="Arial" w:eastAsia="微軟正黑體" w:hAnsi="Arial" w:cs="Arial"/>
          <w:szCs w:val="24"/>
        </w:rPr>
        <w:t>SBTi</w:t>
      </w:r>
      <w:proofErr w:type="spellEnd"/>
      <w:r w:rsidRPr="000B4C75">
        <w:rPr>
          <w:rFonts w:ascii="Arial" w:eastAsia="微軟正黑體" w:hAnsi="Arial" w:cs="Arial"/>
          <w:szCs w:val="24"/>
        </w:rPr>
        <w:t>是全球第一個為企業設立</w:t>
      </w:r>
      <w:proofErr w:type="gramStart"/>
      <w:r w:rsidRPr="000B4C75">
        <w:rPr>
          <w:rFonts w:ascii="Arial" w:eastAsia="微軟正黑體" w:hAnsi="Arial" w:cs="Arial"/>
          <w:szCs w:val="24"/>
        </w:rPr>
        <w:t>淨零碳排</w:t>
      </w:r>
      <w:proofErr w:type="gramEnd"/>
      <w:r w:rsidRPr="000B4C75">
        <w:rPr>
          <w:rFonts w:ascii="Arial" w:eastAsia="微軟正黑體" w:hAnsi="Arial" w:cs="Arial"/>
          <w:szCs w:val="24"/>
        </w:rPr>
        <w:t>標準</w:t>
      </w:r>
      <w:proofErr w:type="gramStart"/>
      <w:r w:rsidRPr="000B4C75">
        <w:rPr>
          <w:rFonts w:ascii="Arial" w:eastAsia="微軟正黑體" w:hAnsi="Arial" w:cs="Arial"/>
          <w:szCs w:val="24"/>
        </w:rPr>
        <w:t>的減碳框架</w:t>
      </w:r>
      <w:proofErr w:type="gramEnd"/>
      <w:r w:rsidRPr="000B4C75">
        <w:rPr>
          <w:rFonts w:ascii="Arial" w:eastAsia="微軟正黑體" w:hAnsi="Arial" w:cs="Arial"/>
          <w:szCs w:val="24"/>
        </w:rPr>
        <w:t>，協助企業採用科學方法設定近期與長期</w:t>
      </w:r>
      <w:proofErr w:type="gramStart"/>
      <w:r w:rsidRPr="000B4C75">
        <w:rPr>
          <w:rFonts w:ascii="Arial" w:eastAsia="微軟正黑體" w:hAnsi="Arial" w:cs="Arial"/>
          <w:szCs w:val="24"/>
        </w:rPr>
        <w:t>的減碳目標</w:t>
      </w:r>
      <w:proofErr w:type="gramEnd"/>
      <w:r w:rsidRPr="000B4C75">
        <w:rPr>
          <w:rFonts w:ascii="Arial" w:eastAsia="微軟正黑體" w:hAnsi="Arial" w:cs="Arial"/>
          <w:szCs w:val="24"/>
        </w:rPr>
        <w:t>，透過提供明確</w:t>
      </w:r>
      <w:proofErr w:type="gramStart"/>
      <w:r w:rsidRPr="000B4C75">
        <w:rPr>
          <w:rFonts w:ascii="Arial" w:eastAsia="微軟正黑體" w:hAnsi="Arial" w:cs="Arial"/>
          <w:szCs w:val="24"/>
        </w:rPr>
        <w:t>的減排途徑</w:t>
      </w:r>
      <w:proofErr w:type="gramEnd"/>
      <w:r w:rsidRPr="000B4C75">
        <w:rPr>
          <w:rFonts w:ascii="Arial" w:eastAsia="微軟正黑體" w:hAnsi="Arial" w:cs="Arial"/>
          <w:szCs w:val="24"/>
        </w:rPr>
        <w:t>，以防止氣候變遷及面對業務增長之下的負面影響。</w:t>
      </w:r>
    </w:p>
    <w:p w14:paraId="3F470E2C" w14:textId="18079746" w:rsidR="000B4C75" w:rsidRDefault="000B4C75" w:rsidP="000B4C75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創意電子</w:t>
      </w:r>
      <w:r w:rsidRPr="000B4C75">
        <w:rPr>
          <w:rFonts w:ascii="Arial" w:eastAsia="微軟正黑體" w:hAnsi="Arial" w:cs="Arial"/>
          <w:szCs w:val="24"/>
        </w:rPr>
        <w:t>依</w:t>
      </w:r>
      <w:proofErr w:type="spellStart"/>
      <w:r>
        <w:rPr>
          <w:rFonts w:ascii="Arial" w:eastAsia="微軟正黑體" w:hAnsi="Arial" w:cs="Arial"/>
          <w:szCs w:val="24"/>
        </w:rPr>
        <w:t>SBTi</w:t>
      </w:r>
      <w:proofErr w:type="spellEnd"/>
      <w:r w:rsidRPr="000B4C75">
        <w:rPr>
          <w:rFonts w:ascii="Arial" w:eastAsia="微軟正黑體" w:hAnsi="Arial" w:cs="Arial"/>
          <w:szCs w:val="24"/>
        </w:rPr>
        <w:t>嚴格的</w:t>
      </w:r>
      <w:r>
        <w:rPr>
          <w:rFonts w:ascii="Arial" w:eastAsia="微軟正黑體" w:hAnsi="Arial" w:cs="Arial"/>
          <w:szCs w:val="24"/>
        </w:rPr>
        <w:t>1.5°C</w:t>
      </w:r>
      <w:r w:rsidRPr="000B4C75">
        <w:rPr>
          <w:rFonts w:ascii="Arial" w:eastAsia="微軟正黑體" w:hAnsi="Arial" w:cs="Arial"/>
          <w:szCs w:val="24"/>
        </w:rPr>
        <w:t>情境設定海內外全部據點及自身營運</w:t>
      </w:r>
      <w:r w:rsidRPr="000B4C75">
        <w:rPr>
          <w:rFonts w:ascii="Arial" w:eastAsia="微軟正黑體" w:hAnsi="Arial" w:cs="Arial"/>
          <w:szCs w:val="24"/>
        </w:rPr>
        <w:t xml:space="preserve"> </w:t>
      </w:r>
      <w:r w:rsidRPr="000B4C75">
        <w:rPr>
          <w:rFonts w:ascii="Arial" w:eastAsia="微軟正黑體" w:hAnsi="Arial" w:cs="Arial"/>
          <w:szCs w:val="24"/>
        </w:rPr>
        <w:t>（範疇</w:t>
      </w:r>
      <w:proofErr w:type="gramStart"/>
      <w:r w:rsidRPr="000B4C75">
        <w:rPr>
          <w:rFonts w:ascii="Arial" w:eastAsia="微軟正黑體" w:hAnsi="Arial" w:cs="Arial"/>
          <w:szCs w:val="24"/>
        </w:rPr>
        <w:t>一</w:t>
      </w:r>
      <w:proofErr w:type="gramEnd"/>
      <w:r w:rsidRPr="000B4C75">
        <w:rPr>
          <w:rFonts w:ascii="Arial" w:eastAsia="微軟正黑體" w:hAnsi="Arial" w:cs="Arial"/>
          <w:szCs w:val="24"/>
        </w:rPr>
        <w:t>及範疇二）</w:t>
      </w:r>
      <w:r w:rsidRPr="000B4C75">
        <w:rPr>
          <w:rFonts w:ascii="Arial" w:eastAsia="微軟正黑體" w:hAnsi="Arial" w:cs="Arial"/>
          <w:szCs w:val="24"/>
        </w:rPr>
        <w:t xml:space="preserve"> </w:t>
      </w:r>
      <w:proofErr w:type="gramStart"/>
      <w:r w:rsidRPr="000B4C75">
        <w:rPr>
          <w:rFonts w:ascii="Arial" w:eastAsia="微軟正黑體" w:hAnsi="Arial" w:cs="Arial"/>
          <w:szCs w:val="24"/>
        </w:rPr>
        <w:t>減碳目標</w:t>
      </w:r>
      <w:proofErr w:type="gramEnd"/>
      <w:r w:rsidRPr="000B4C75">
        <w:rPr>
          <w:rFonts w:ascii="Arial" w:eastAsia="微軟正黑體" w:hAnsi="Arial" w:cs="Arial"/>
          <w:szCs w:val="24"/>
        </w:rPr>
        <w:t>，以</w:t>
      </w:r>
      <w:r w:rsidRPr="000B4C75">
        <w:rPr>
          <w:rFonts w:ascii="Arial" w:eastAsia="微軟正黑體" w:hAnsi="Arial" w:cs="Arial"/>
          <w:szCs w:val="24"/>
        </w:rPr>
        <w:t xml:space="preserve"> 2022 </w:t>
      </w:r>
      <w:r w:rsidRPr="000B4C75">
        <w:rPr>
          <w:rFonts w:ascii="Arial" w:eastAsia="微軟正黑體" w:hAnsi="Arial" w:cs="Arial"/>
          <w:szCs w:val="24"/>
        </w:rPr>
        <w:t>年為基準年，計畫透過自主節能、</w:t>
      </w:r>
      <w:proofErr w:type="gramStart"/>
      <w:r w:rsidRPr="000B4C75">
        <w:rPr>
          <w:rFonts w:ascii="Arial" w:eastAsia="微軟正黑體" w:hAnsi="Arial" w:cs="Arial"/>
          <w:szCs w:val="24"/>
        </w:rPr>
        <w:t>汰換耗</w:t>
      </w:r>
      <w:proofErr w:type="gramEnd"/>
      <w:r w:rsidRPr="000B4C75">
        <w:rPr>
          <w:rFonts w:ascii="Arial" w:eastAsia="微軟正黑體" w:hAnsi="Arial" w:cs="Arial"/>
          <w:szCs w:val="24"/>
        </w:rPr>
        <w:t>能設備、增建太陽光電設備及提升再生能源使用比率等方式，預計至</w:t>
      </w:r>
      <w:r w:rsidRPr="000B4C75">
        <w:rPr>
          <w:rFonts w:ascii="Arial" w:eastAsia="微軟正黑體" w:hAnsi="Arial" w:cs="Arial"/>
          <w:szCs w:val="24"/>
        </w:rPr>
        <w:t xml:space="preserve"> 2030 </w:t>
      </w:r>
      <w:proofErr w:type="gramStart"/>
      <w:r w:rsidRPr="000B4C75">
        <w:rPr>
          <w:rFonts w:ascii="Arial" w:eastAsia="微軟正黑體" w:hAnsi="Arial" w:cs="Arial"/>
          <w:szCs w:val="24"/>
        </w:rPr>
        <w:t>年碳排減降</w:t>
      </w:r>
      <w:proofErr w:type="gramEnd"/>
      <w:r w:rsidRPr="000B4C75">
        <w:rPr>
          <w:rFonts w:ascii="Arial" w:eastAsia="微軟正黑體" w:hAnsi="Arial" w:cs="Arial"/>
          <w:szCs w:val="24"/>
        </w:rPr>
        <w:t xml:space="preserve"> 42%</w:t>
      </w:r>
      <w:r w:rsidRPr="000B4C75">
        <w:rPr>
          <w:rFonts w:ascii="Arial" w:eastAsia="微軟正黑體" w:hAnsi="Arial" w:cs="Arial"/>
          <w:szCs w:val="24"/>
        </w:rPr>
        <w:t>。未來將協同供應商持續推動節能</w:t>
      </w:r>
      <w:proofErr w:type="gramStart"/>
      <w:r w:rsidRPr="000B4C75">
        <w:rPr>
          <w:rFonts w:ascii="Arial" w:eastAsia="微軟正黑體" w:hAnsi="Arial" w:cs="Arial"/>
          <w:szCs w:val="24"/>
        </w:rPr>
        <w:t>減碳，</w:t>
      </w:r>
      <w:proofErr w:type="gramEnd"/>
      <w:r w:rsidRPr="000B4C75">
        <w:rPr>
          <w:rFonts w:ascii="Arial" w:eastAsia="微軟正黑體" w:hAnsi="Arial" w:cs="Arial"/>
          <w:szCs w:val="24"/>
        </w:rPr>
        <w:t>且於每年發布之《永續報告書》中</w:t>
      </w:r>
      <w:proofErr w:type="gramStart"/>
      <w:r w:rsidRPr="000B4C75">
        <w:rPr>
          <w:rFonts w:ascii="Arial" w:eastAsia="微軟正黑體" w:hAnsi="Arial" w:cs="Arial"/>
          <w:szCs w:val="24"/>
        </w:rPr>
        <w:t>揭露減碳目標</w:t>
      </w:r>
      <w:proofErr w:type="gramEnd"/>
      <w:r w:rsidRPr="000B4C75">
        <w:rPr>
          <w:rFonts w:ascii="Arial" w:eastAsia="微軟正黑體" w:hAnsi="Arial" w:cs="Arial"/>
          <w:szCs w:val="24"/>
        </w:rPr>
        <w:t>之達成情形，以實際行動為</w:t>
      </w:r>
      <w:proofErr w:type="gramStart"/>
      <w:r w:rsidRPr="000B4C75">
        <w:rPr>
          <w:rFonts w:ascii="Arial" w:eastAsia="微軟正黑體" w:hAnsi="Arial" w:cs="Arial"/>
          <w:szCs w:val="24"/>
        </w:rPr>
        <w:t>全球減碳做出</w:t>
      </w:r>
      <w:proofErr w:type="gramEnd"/>
      <w:r w:rsidRPr="000B4C75">
        <w:rPr>
          <w:rFonts w:ascii="Arial" w:eastAsia="微軟正黑體" w:hAnsi="Arial" w:cs="Arial"/>
          <w:szCs w:val="24"/>
        </w:rPr>
        <w:t>改變，致力達成</w:t>
      </w:r>
      <w:r w:rsidRPr="000B4C75">
        <w:rPr>
          <w:rFonts w:ascii="Arial" w:eastAsia="微軟正黑體" w:hAnsi="Arial" w:cs="Arial"/>
          <w:szCs w:val="24"/>
        </w:rPr>
        <w:t xml:space="preserve"> 2050</w:t>
      </w:r>
      <w:r w:rsidRPr="000B4C75">
        <w:rPr>
          <w:rFonts w:ascii="Arial" w:eastAsia="微軟正黑體" w:hAnsi="Arial" w:cs="Arial"/>
          <w:szCs w:val="24"/>
        </w:rPr>
        <w:t>年自身營運</w:t>
      </w:r>
      <w:proofErr w:type="gramStart"/>
      <w:r w:rsidRPr="000B4C75">
        <w:rPr>
          <w:rFonts w:ascii="Arial" w:eastAsia="微軟正黑體" w:hAnsi="Arial" w:cs="Arial"/>
          <w:szCs w:val="24"/>
        </w:rPr>
        <w:t>淨零碳排</w:t>
      </w:r>
      <w:proofErr w:type="gramEnd"/>
      <w:r w:rsidRPr="000B4C75">
        <w:rPr>
          <w:rFonts w:ascii="Arial" w:eastAsia="微軟正黑體" w:hAnsi="Arial" w:cs="Arial"/>
          <w:szCs w:val="24"/>
        </w:rPr>
        <w:t>之決心。</w:t>
      </w:r>
    </w:p>
    <w:p w14:paraId="07D2F670" w14:textId="77777777" w:rsidR="000B4C75" w:rsidRDefault="000B4C75" w:rsidP="000B4C75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spellStart"/>
      <w:proofErr w:type="gramEnd"/>
      <w:r w:rsidRPr="00AA7817">
        <w:rPr>
          <w:rFonts w:ascii="Arial" w:eastAsia="微軟正黑體" w:hAnsi="Arial" w:cs="Arial" w:hint="eastAsia"/>
          <w:color w:val="385623" w:themeColor="accent6" w:themeShade="80"/>
          <w:szCs w:val="24"/>
        </w:rPr>
        <w:t>SBTi</w:t>
      </w:r>
      <w:proofErr w:type="spellEnd"/>
      <w:r w:rsidRPr="00AA7817">
        <w:rPr>
          <w:rFonts w:ascii="Arial" w:eastAsia="微軟正黑體" w:hAnsi="Arial" w:cs="Arial" w:hint="eastAsia"/>
          <w:color w:val="385623" w:themeColor="accent6" w:themeShade="80"/>
          <w:szCs w:val="24"/>
        </w:rPr>
        <w:t>科學減量目標核准文件</w:t>
      </w:r>
      <w:r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檔案下載</w:t>
      </w:r>
    </w:p>
    <w:p w14:paraId="76431D96" w14:textId="77777777" w:rsidR="000B4C75" w:rsidRPr="000B4C75" w:rsidRDefault="000B4C75" w:rsidP="000B4C75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szCs w:val="24"/>
        </w:rPr>
      </w:pPr>
    </w:p>
    <w:p w14:paraId="7B5FBBA7" w14:textId="444E9D13" w:rsidR="000B4C75" w:rsidRDefault="000B4C75" w:rsidP="000B4C75">
      <w:pPr>
        <w:tabs>
          <w:tab w:val="left" w:pos="975"/>
        </w:tabs>
        <w:spacing w:before="240" w:line="0" w:lineRule="atLeast"/>
        <w:jc w:val="center"/>
        <w:rPr>
          <w:rFonts w:ascii="Arial" w:eastAsia="微軟正黑體" w:hAnsi="Arial" w:cs="Arial" w:hint="eastAsia"/>
          <w:szCs w:val="24"/>
        </w:rPr>
      </w:pPr>
      <w:r>
        <w:rPr>
          <w:rFonts w:ascii="Arial" w:eastAsia="微軟正黑體" w:hAnsi="Arial" w:cs="Arial"/>
          <w:noProof/>
          <w:szCs w:val="24"/>
        </w:rPr>
        <w:drawing>
          <wp:inline distT="0" distB="0" distL="0" distR="0" wp14:anchorId="264F9307" wp14:editId="70493A4D">
            <wp:extent cx="4102735" cy="20910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97BCA" w14:textId="3C41C681" w:rsidR="00AA7817" w:rsidRDefault="00AA7817" w:rsidP="000B5328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</w:p>
    <w:p w14:paraId="6AAAF49F" w14:textId="28A6A542" w:rsidR="00AA7817" w:rsidRDefault="00AA7817" w:rsidP="00AA7817">
      <w:pPr>
        <w:pStyle w:val="a3"/>
        <w:numPr>
          <w:ilvl w:val="0"/>
          <w:numId w:val="13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 w:rsidRPr="00AA7817">
        <w:rPr>
          <w:rFonts w:ascii="Arial" w:eastAsia="微軟正黑體" w:hAnsi="Arial" w:cs="Arial" w:hint="eastAsia"/>
          <w:b/>
          <w:szCs w:val="24"/>
        </w:rPr>
        <w:t>溫室氣體盤查</w:t>
      </w:r>
    </w:p>
    <w:p w14:paraId="3F69ED87" w14:textId="2A0FE25B" w:rsidR="00AE5AB9" w:rsidRDefault="000B4C75" w:rsidP="00AA7817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0B4C75">
        <w:rPr>
          <w:rFonts w:ascii="Arial" w:eastAsia="微軟正黑體" w:hAnsi="Arial" w:cs="Arial" w:hint="eastAsia"/>
          <w:szCs w:val="24"/>
        </w:rPr>
        <w:t>創意電子自</w:t>
      </w:r>
      <w:r w:rsidR="00AE5AB9">
        <w:rPr>
          <w:rFonts w:ascii="Arial" w:eastAsia="微軟正黑體" w:hAnsi="Arial" w:cs="Arial" w:hint="eastAsia"/>
          <w:szCs w:val="24"/>
        </w:rPr>
        <w:t>2019</w:t>
      </w:r>
      <w:r w:rsidRPr="000B4C75">
        <w:rPr>
          <w:rFonts w:ascii="Arial" w:eastAsia="微軟正黑體" w:hAnsi="Arial" w:cs="Arial" w:hint="eastAsia"/>
          <w:szCs w:val="24"/>
        </w:rPr>
        <w:t>年起自主進行溫室氣體盤查與管理，</w:t>
      </w:r>
      <w:r w:rsidR="00AE5AB9">
        <w:rPr>
          <w:rFonts w:ascii="Arial" w:eastAsia="微軟正黑體" w:hAnsi="Arial" w:cs="Arial" w:hint="eastAsia"/>
          <w:szCs w:val="24"/>
        </w:rPr>
        <w:t>2021</w:t>
      </w:r>
      <w:r w:rsidRPr="000B4C75">
        <w:rPr>
          <w:rFonts w:ascii="Arial" w:eastAsia="微軟正黑體" w:hAnsi="Arial" w:cs="Arial" w:hint="eastAsia"/>
          <w:szCs w:val="24"/>
        </w:rPr>
        <w:t>年起依照</w:t>
      </w:r>
      <w:r w:rsidR="00AE5AB9">
        <w:rPr>
          <w:rFonts w:ascii="Arial" w:eastAsia="微軟正黑體" w:hAnsi="Arial" w:cs="Arial" w:hint="eastAsia"/>
          <w:szCs w:val="24"/>
        </w:rPr>
        <w:t>ISO 14064-1</w:t>
      </w:r>
      <w:r w:rsidRPr="000B4C75">
        <w:rPr>
          <w:rFonts w:ascii="Arial" w:eastAsia="微軟正黑體" w:hAnsi="Arial" w:cs="Arial" w:hint="eastAsia"/>
          <w:szCs w:val="24"/>
        </w:rPr>
        <w:t>進</w:t>
      </w:r>
      <w:r w:rsidR="00AE5AB9">
        <w:rPr>
          <w:rFonts w:ascii="Arial" w:eastAsia="微軟正黑體" w:hAnsi="Arial" w:cs="Arial" w:hint="eastAsia"/>
          <w:szCs w:val="24"/>
        </w:rPr>
        <w:t>行盤查並接受外部查證，以確保我們的盤查過程符合最高標準。</w:t>
      </w:r>
      <w:r w:rsidR="00AE5AB9">
        <w:rPr>
          <w:rFonts w:ascii="Arial" w:eastAsia="微軟正黑體" w:hAnsi="Arial" w:cs="Arial" w:hint="eastAsia"/>
          <w:szCs w:val="24"/>
        </w:rPr>
        <w:t>2023</w:t>
      </w:r>
      <w:r w:rsidRPr="000B4C75">
        <w:rPr>
          <w:rFonts w:ascii="Arial" w:eastAsia="微軟正黑體" w:hAnsi="Arial" w:cs="Arial" w:hint="eastAsia"/>
          <w:szCs w:val="24"/>
        </w:rPr>
        <w:t>年溫室氣體盤查因要符合</w:t>
      </w:r>
      <w:r w:rsidRPr="000B4C75">
        <w:rPr>
          <w:rFonts w:ascii="Arial" w:eastAsia="微軟正黑體" w:hAnsi="Arial" w:cs="Arial" w:hint="eastAsia"/>
          <w:szCs w:val="24"/>
        </w:rPr>
        <w:t xml:space="preserve"> </w:t>
      </w:r>
      <w:proofErr w:type="spellStart"/>
      <w:r w:rsidRPr="000B4C75">
        <w:rPr>
          <w:rFonts w:ascii="Arial" w:eastAsia="微軟正黑體" w:hAnsi="Arial" w:cs="Arial" w:hint="eastAsia"/>
          <w:szCs w:val="24"/>
        </w:rPr>
        <w:t>SBTi</w:t>
      </w:r>
      <w:proofErr w:type="spellEnd"/>
      <w:r w:rsidRPr="000B4C75">
        <w:rPr>
          <w:rFonts w:ascii="Arial" w:eastAsia="微軟正黑體" w:hAnsi="Arial" w:cs="Arial" w:hint="eastAsia"/>
          <w:szCs w:val="24"/>
        </w:rPr>
        <w:t xml:space="preserve"> </w:t>
      </w:r>
      <w:r w:rsidRPr="000B4C75">
        <w:rPr>
          <w:rFonts w:ascii="Arial" w:eastAsia="微軟正黑體" w:hAnsi="Arial" w:cs="Arial" w:hint="eastAsia"/>
          <w:szCs w:val="24"/>
        </w:rPr>
        <w:t>範疇</w:t>
      </w:r>
      <w:proofErr w:type="gramStart"/>
      <w:r w:rsidRPr="000B4C75">
        <w:rPr>
          <w:rFonts w:ascii="Arial" w:eastAsia="微軟正黑體" w:hAnsi="Arial" w:cs="Arial" w:hint="eastAsia"/>
          <w:szCs w:val="24"/>
        </w:rPr>
        <w:t>三</w:t>
      </w:r>
      <w:proofErr w:type="gramEnd"/>
      <w:r w:rsidRPr="000B4C75">
        <w:rPr>
          <w:rFonts w:ascii="Arial" w:eastAsia="微軟正黑體" w:hAnsi="Arial" w:cs="Arial" w:hint="eastAsia"/>
          <w:szCs w:val="24"/>
        </w:rPr>
        <w:t>分類盤查及查證標準改用溫室氣體盤查議定書（</w:t>
      </w:r>
      <w:r w:rsidRPr="000B4C75">
        <w:rPr>
          <w:rFonts w:ascii="Arial" w:eastAsia="微軟正黑體" w:hAnsi="Arial" w:cs="Arial" w:hint="eastAsia"/>
          <w:szCs w:val="24"/>
        </w:rPr>
        <w:t>GHG protocol</w:t>
      </w:r>
      <w:r w:rsidR="00AE5AB9">
        <w:rPr>
          <w:rFonts w:ascii="Arial" w:eastAsia="微軟正黑體" w:hAnsi="Arial" w:cs="Arial" w:hint="eastAsia"/>
          <w:szCs w:val="24"/>
        </w:rPr>
        <w:t>）。</w:t>
      </w:r>
    </w:p>
    <w:p w14:paraId="2351FC04" w14:textId="11F1F618" w:rsidR="00AE5AB9" w:rsidRPr="00AE5AB9" w:rsidRDefault="00AE5AB9" w:rsidP="00AE5AB9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 w:hint="eastAsia"/>
          <w:szCs w:val="24"/>
        </w:rPr>
      </w:pPr>
      <w:r w:rsidRPr="00AE5AB9">
        <w:rPr>
          <w:rFonts w:ascii="Arial" w:eastAsia="微軟正黑體" w:hAnsi="Arial" w:cs="Arial" w:hint="eastAsia"/>
          <w:szCs w:val="24"/>
        </w:rPr>
        <w:t>創意電子溫室氣體排放主要排放源範疇</w:t>
      </w:r>
      <w:proofErr w:type="gramStart"/>
      <w:r w:rsidRPr="00AE5AB9">
        <w:rPr>
          <w:rFonts w:ascii="Arial" w:eastAsia="微軟正黑體" w:hAnsi="Arial" w:cs="Arial" w:hint="eastAsia"/>
          <w:szCs w:val="24"/>
        </w:rPr>
        <w:t>三</w:t>
      </w:r>
      <w:proofErr w:type="gramEnd"/>
      <w:r w:rsidRPr="00AE5AB9">
        <w:rPr>
          <w:rFonts w:ascii="Arial" w:eastAsia="微軟正黑體" w:hAnsi="Arial" w:cs="Arial" w:hint="eastAsia"/>
          <w:szCs w:val="24"/>
        </w:rPr>
        <w:t>，其餘為能源使用（範疇二）；固定排放源（緊急發電機之柴油）、移動排放源（公務車之汽油）</w:t>
      </w:r>
      <w:r w:rsidRPr="00AE5AB9">
        <w:rPr>
          <w:rFonts w:ascii="Arial" w:eastAsia="微軟正黑體" w:hAnsi="Arial" w:cs="Arial" w:hint="eastAsia"/>
          <w:szCs w:val="24"/>
        </w:rPr>
        <w:t xml:space="preserve"> </w:t>
      </w:r>
      <w:r w:rsidRPr="00AE5AB9">
        <w:rPr>
          <w:rFonts w:ascii="Arial" w:eastAsia="微軟正黑體" w:hAnsi="Arial" w:cs="Arial" w:hint="eastAsia"/>
          <w:szCs w:val="24"/>
        </w:rPr>
        <w:t>及逸散排放源（冷媒、滅火器）等排放（範疇一）；本公司為單純辦公室無製程生產</w:t>
      </w:r>
      <w:proofErr w:type="gramStart"/>
      <w:r w:rsidRPr="00AE5AB9">
        <w:rPr>
          <w:rFonts w:ascii="Arial" w:eastAsia="微軟正黑體" w:hAnsi="Arial" w:cs="Arial" w:hint="eastAsia"/>
          <w:szCs w:val="24"/>
        </w:rPr>
        <w:t>產</w:t>
      </w:r>
      <w:proofErr w:type="gramEnd"/>
      <w:r w:rsidRPr="00AE5AB9">
        <w:rPr>
          <w:rFonts w:ascii="Arial" w:eastAsia="微軟正黑體" w:hAnsi="Arial" w:cs="Arial" w:hint="eastAsia"/>
          <w:szCs w:val="24"/>
        </w:rPr>
        <w:t>線，故無溫室氣體製程排放源。</w:t>
      </w:r>
    </w:p>
    <w:p w14:paraId="4394FD68" w14:textId="20F7043A" w:rsidR="00AA7817" w:rsidRDefault="00AA7817" w:rsidP="00AA7817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Pr="00AA7817">
        <w:rPr>
          <w:rFonts w:ascii="Arial" w:eastAsia="微軟正黑體" w:hAnsi="Arial" w:cs="Arial" w:hint="eastAsia"/>
          <w:color w:val="385623" w:themeColor="accent6" w:themeShade="80"/>
          <w:szCs w:val="24"/>
        </w:rPr>
        <w:t>溫室氣體查驗聲明書</w:t>
      </w:r>
      <w:r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檔案下載</w:t>
      </w:r>
    </w:p>
    <w:p w14:paraId="5B2207E0" w14:textId="77777777" w:rsidR="00AA7817" w:rsidRPr="00AE5AB9" w:rsidRDefault="00AA7817" w:rsidP="000B5328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szCs w:val="24"/>
        </w:rPr>
      </w:pPr>
    </w:p>
    <w:p w14:paraId="4D61C14D" w14:textId="6DF121D4" w:rsidR="007D2EA1" w:rsidRPr="007D2EA1" w:rsidRDefault="007D2EA1" w:rsidP="00DC18F4">
      <w:pPr>
        <w:widowControl/>
        <w:jc w:val="center"/>
        <w:rPr>
          <w:rFonts w:ascii="微軟正黑體" w:eastAsia="微軟正黑體" w:hAnsi="微軟正黑體" w:cs="微軟正黑體"/>
          <w:kern w:val="0"/>
          <w:sz w:val="20"/>
          <w:szCs w:val="20"/>
        </w:rPr>
      </w:pPr>
      <w:r w:rsidRPr="007D2EA1">
        <w:rPr>
          <w:rFonts w:ascii="微軟正黑體" w:eastAsia="微軟正黑體" w:hAnsi="微軟正黑體" w:cs="微軟正黑體"/>
          <w:kern w:val="0"/>
          <w:sz w:val="20"/>
          <w:szCs w:val="20"/>
        </w:rPr>
        <w:t>近 3 年溫室氣體排放量及溫室氣體排放度</w:t>
      </w:r>
      <w:proofErr w:type="gramStart"/>
      <w:r w:rsidRPr="007D2EA1">
        <w:rPr>
          <w:rFonts w:ascii="微軟正黑體" w:eastAsia="微軟正黑體" w:hAnsi="微軟正黑體" w:cs="微軟正黑體"/>
          <w:kern w:val="0"/>
          <w:sz w:val="20"/>
          <w:szCs w:val="20"/>
        </w:rPr>
        <w:t>（</w:t>
      </w:r>
      <w:proofErr w:type="gramEnd"/>
      <w:r w:rsidRPr="007D2EA1">
        <w:rPr>
          <w:rFonts w:ascii="微軟正黑體" w:eastAsia="微軟正黑體" w:hAnsi="微軟正黑體" w:cs="微軟正黑體"/>
          <w:kern w:val="0"/>
          <w:sz w:val="20"/>
          <w:szCs w:val="20"/>
        </w:rPr>
        <w:t>單位：tCO</w:t>
      </w:r>
      <w:r w:rsidRPr="007D2EA1">
        <w:rPr>
          <w:rFonts w:ascii="微軟正黑體" w:eastAsia="微軟正黑體" w:hAnsi="微軟正黑體" w:cs="微軟正黑體"/>
          <w:kern w:val="0"/>
          <w:sz w:val="20"/>
          <w:szCs w:val="20"/>
          <w:vertAlign w:val="subscript"/>
        </w:rPr>
        <w:t>2</w:t>
      </w:r>
      <w:r w:rsidRPr="007D2EA1">
        <w:rPr>
          <w:rFonts w:ascii="微軟正黑體" w:eastAsia="微軟正黑體" w:hAnsi="微軟正黑體" w:cs="微軟正黑體"/>
          <w:kern w:val="0"/>
          <w:sz w:val="20"/>
          <w:szCs w:val="20"/>
        </w:rPr>
        <w:t xml:space="preserve">e </w:t>
      </w:r>
      <w:proofErr w:type="gramStart"/>
      <w:r w:rsidRPr="007D2EA1">
        <w:rPr>
          <w:rFonts w:ascii="微軟正黑體" w:eastAsia="微軟正黑體" w:hAnsi="微軟正黑體" w:cs="微軟正黑體"/>
          <w:kern w:val="0"/>
          <w:sz w:val="20"/>
          <w:szCs w:val="20"/>
        </w:rPr>
        <w:t>）</w:t>
      </w:r>
      <w:proofErr w:type="gramEnd"/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1984"/>
        <w:gridCol w:w="1984"/>
        <w:gridCol w:w="1984"/>
      </w:tblGrid>
      <w:tr w:rsidR="00DC18F4" w:rsidRPr="00DC18F4" w14:paraId="48713EA3" w14:textId="77777777" w:rsidTr="00DC18F4">
        <w:trPr>
          <w:jc w:val="center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</w:tcBorders>
            <w:shd w:val="clear" w:color="auto" w:fill="70AD47" w:themeFill="accent6"/>
          </w:tcPr>
          <w:p w14:paraId="3A417726" w14:textId="1444DAC4" w:rsidR="00DC18F4" w:rsidRPr="007D2EA1" w:rsidRDefault="00DC18F4" w:rsidP="007D2EA1">
            <w:pPr>
              <w:ind w:hanging="1"/>
              <w:rPr>
                <w:rFonts w:ascii="微軟正黑體" w:eastAsia="微軟正黑體" w:hAnsi="微軟正黑體" w:cs="微軟正黑體" w:hint="eastAsia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70AD47" w:themeFill="accent6"/>
          </w:tcPr>
          <w:p w14:paraId="0910E44B" w14:textId="77777777" w:rsidR="00DC18F4" w:rsidRPr="007D2EA1" w:rsidRDefault="00DC18F4" w:rsidP="00DC18F4">
            <w:pPr>
              <w:ind w:hanging="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  <w:t>2022 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70AD47" w:themeFill="accent6"/>
          </w:tcPr>
          <w:p w14:paraId="6812D581" w14:textId="77777777" w:rsidR="00DC18F4" w:rsidRPr="007D2EA1" w:rsidRDefault="00DC18F4" w:rsidP="00DC18F4">
            <w:pPr>
              <w:ind w:hanging="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  <w:t>2023 年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70AD47" w:themeFill="accent6"/>
          </w:tcPr>
          <w:p w14:paraId="3595A1E9" w14:textId="77777777" w:rsidR="00DC18F4" w:rsidRPr="007D2EA1" w:rsidRDefault="00DC18F4" w:rsidP="00DC18F4">
            <w:pPr>
              <w:ind w:hanging="1"/>
              <w:jc w:val="center"/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b/>
                <w:color w:val="000000"/>
                <w:kern w:val="0"/>
                <w:sz w:val="20"/>
                <w:szCs w:val="20"/>
              </w:rPr>
              <w:t>2024年</w:t>
            </w:r>
          </w:p>
        </w:tc>
      </w:tr>
      <w:tr w:rsidR="00DC18F4" w:rsidRPr="00DC18F4" w14:paraId="546EA77C" w14:textId="77777777" w:rsidTr="00DC18F4">
        <w:trPr>
          <w:jc w:val="center"/>
        </w:trPr>
        <w:tc>
          <w:tcPr>
            <w:tcW w:w="294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B7CC8A2" w14:textId="77777777" w:rsidR="00DC18F4" w:rsidRPr="007D2EA1" w:rsidRDefault="00DC18F4" w:rsidP="007D2EA1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範疇</w:t>
            </w:r>
            <w:proofErr w:type="gramStart"/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FFFFFF" w:themeFill="background1"/>
          </w:tcPr>
          <w:p w14:paraId="076C7B52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174.8613</w:t>
            </w:r>
          </w:p>
        </w:tc>
        <w:tc>
          <w:tcPr>
            <w:tcW w:w="1984" w:type="dxa"/>
            <w:shd w:val="clear" w:color="auto" w:fill="FFFFFF" w:themeFill="background1"/>
          </w:tcPr>
          <w:p w14:paraId="67C3B0E9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933.0934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66B65B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DC18F4" w:rsidRPr="00DC18F4" w14:paraId="4F9739A8" w14:textId="77777777" w:rsidTr="00DC18F4">
        <w:trPr>
          <w:jc w:val="center"/>
        </w:trPr>
        <w:tc>
          <w:tcPr>
            <w:tcW w:w="2948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341C2580" w14:textId="77777777" w:rsidR="00DC18F4" w:rsidRPr="007D2EA1" w:rsidRDefault="00DC18F4" w:rsidP="007D2EA1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範疇二</w:t>
            </w:r>
          </w:p>
        </w:tc>
        <w:tc>
          <w:tcPr>
            <w:tcW w:w="1984" w:type="dxa"/>
            <w:shd w:val="clear" w:color="auto" w:fill="FFFFFF" w:themeFill="background1"/>
          </w:tcPr>
          <w:p w14:paraId="03009429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8,708.6177</w:t>
            </w:r>
          </w:p>
        </w:tc>
        <w:tc>
          <w:tcPr>
            <w:tcW w:w="1984" w:type="dxa"/>
            <w:shd w:val="clear" w:color="auto" w:fill="FFFFFF" w:themeFill="background1"/>
          </w:tcPr>
          <w:p w14:paraId="4840A476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9,417.9627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2F22C37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DC18F4" w:rsidRPr="00DC18F4" w14:paraId="28504629" w14:textId="77777777" w:rsidTr="00DC18F4">
        <w:trPr>
          <w:jc w:val="center"/>
        </w:trPr>
        <w:tc>
          <w:tcPr>
            <w:tcW w:w="29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8BCFA6" w14:textId="77777777" w:rsidR="00DC18F4" w:rsidRPr="007D2EA1" w:rsidRDefault="00DC18F4" w:rsidP="007D2EA1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lastRenderedPageBreak/>
              <w:t>範疇三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B3CE540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1,598.0109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A33943B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892,149.6187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CA55F3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DC18F4" w:rsidRPr="00DC18F4" w14:paraId="1B5D9B85" w14:textId="77777777" w:rsidTr="00DC18F4">
        <w:trPr>
          <w:jc w:val="center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6153E5" w14:textId="77777777" w:rsidR="00DC18F4" w:rsidRPr="00DC18F4" w:rsidRDefault="00DC18F4" w:rsidP="00DC18F4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總溫室氣體排放量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D74135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10,481.490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AED8E9B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902,500.675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84AFEB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DC18F4" w:rsidRPr="00DC18F4" w14:paraId="6A48BBBD" w14:textId="77777777" w:rsidTr="00DC18F4">
        <w:trPr>
          <w:jc w:val="center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5A5E253" w14:textId="77777777" w:rsidR="00DC18F4" w:rsidRPr="00DC18F4" w:rsidRDefault="00DC18F4" w:rsidP="007D2EA1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年度營收(新臺幣百萬元)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EF85DF5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24,040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9394935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26,241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BA61DA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  <w:tr w:rsidR="00DC18F4" w:rsidRPr="00DC18F4" w14:paraId="1AC63F33" w14:textId="77777777" w:rsidTr="00DC18F4">
        <w:trPr>
          <w:jc w:val="center"/>
        </w:trPr>
        <w:tc>
          <w:tcPr>
            <w:tcW w:w="29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B1CDA90" w14:textId="77777777" w:rsidR="00DC18F4" w:rsidRPr="00DC18F4" w:rsidRDefault="00DC18F4" w:rsidP="007D2EA1">
            <w:pPr>
              <w:ind w:hanging="1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溫室氣體排放強度(包含範疇三)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D1CC20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0.000044%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90BCBF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  <w:r w:rsidRPr="007D2EA1"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  <w:t>0.003439%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CA5AC0D" w14:textId="77777777" w:rsidR="00DC18F4" w:rsidRPr="007D2EA1" w:rsidRDefault="00DC18F4" w:rsidP="007D2EA1">
            <w:pPr>
              <w:ind w:hanging="1"/>
              <w:jc w:val="right"/>
              <w:rPr>
                <w:rFonts w:ascii="微軟正黑體" w:eastAsia="微軟正黑體" w:hAnsi="微軟正黑體" w:cs="微軟正黑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0BAEEE9" w14:textId="3C405CD2" w:rsidR="00DC18F4" w:rsidRDefault="00894270" w:rsidP="00DC18F4">
      <w:pPr>
        <w:pStyle w:val="a3"/>
        <w:numPr>
          <w:ilvl w:val="0"/>
          <w:numId w:val="13"/>
        </w:numPr>
        <w:tabs>
          <w:tab w:val="left" w:pos="975"/>
        </w:tabs>
        <w:spacing w:before="240" w:line="0" w:lineRule="atLeast"/>
        <w:ind w:leftChars="0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能源管理計畫</w:t>
      </w:r>
    </w:p>
    <w:p w14:paraId="5E7739E7" w14:textId="3F0C1DB0" w:rsidR="000258EB" w:rsidRDefault="00BD5196" w:rsidP="000B5328">
      <w:pPr>
        <w:spacing w:line="0" w:lineRule="atLeast"/>
        <w:jc w:val="both"/>
        <w:rPr>
          <w:rFonts w:ascii="Arial" w:eastAsia="微軟正黑體" w:hAnsi="Arial" w:cs="Arial"/>
          <w:szCs w:val="24"/>
        </w:rPr>
      </w:pPr>
      <w:r w:rsidRPr="00BD5196">
        <w:rPr>
          <w:rFonts w:ascii="Arial" w:eastAsia="微軟正黑體" w:hAnsi="Arial" w:cs="Arial" w:hint="eastAsia"/>
          <w:szCs w:val="24"/>
        </w:rPr>
        <w:t>為了減少溫室氣體排放並積極應對氣候變遷，創意電子設立了明確的</w:t>
      </w:r>
      <w:proofErr w:type="gramStart"/>
      <w:r w:rsidRPr="00BD5196">
        <w:rPr>
          <w:rFonts w:ascii="Arial" w:eastAsia="微軟正黑體" w:hAnsi="Arial" w:cs="Arial" w:hint="eastAsia"/>
          <w:szCs w:val="24"/>
        </w:rPr>
        <w:t>節能減碳目標</w:t>
      </w:r>
      <w:proofErr w:type="gramEnd"/>
      <w:r w:rsidRPr="00BD5196">
        <w:rPr>
          <w:rFonts w:ascii="Arial" w:eastAsia="微軟正黑體" w:hAnsi="Arial" w:cs="Arial" w:hint="eastAsia"/>
          <w:szCs w:val="24"/>
        </w:rPr>
        <w:t>，並付諸實際行動。我們專注於綠色創新設計與綠色辦公環境的推廣，並持續提升員工的環保意識，推動具體可行的</w:t>
      </w:r>
      <w:r>
        <w:rPr>
          <w:rFonts w:ascii="Arial" w:eastAsia="微軟正黑體" w:hAnsi="Arial" w:cs="Arial" w:hint="eastAsia"/>
          <w:szCs w:val="24"/>
        </w:rPr>
        <w:t>綠色計畫。除提升廠</w:t>
      </w:r>
      <w:proofErr w:type="gramStart"/>
      <w:r>
        <w:rPr>
          <w:rFonts w:ascii="Arial" w:eastAsia="微軟正黑體" w:hAnsi="Arial" w:cs="Arial" w:hint="eastAsia"/>
          <w:szCs w:val="24"/>
        </w:rPr>
        <w:t>務</w:t>
      </w:r>
      <w:proofErr w:type="gramEnd"/>
      <w:r>
        <w:rPr>
          <w:rFonts w:ascii="Arial" w:eastAsia="微軟正黑體" w:hAnsi="Arial" w:cs="Arial" w:hint="eastAsia"/>
          <w:szCs w:val="24"/>
        </w:rPr>
        <w:t>設備效能、</w:t>
      </w:r>
      <w:proofErr w:type="gramStart"/>
      <w:r>
        <w:rPr>
          <w:rFonts w:ascii="Arial" w:eastAsia="微軟正黑體" w:hAnsi="Arial" w:cs="Arial" w:hint="eastAsia"/>
          <w:szCs w:val="24"/>
        </w:rPr>
        <w:t>汰</w:t>
      </w:r>
      <w:proofErr w:type="gramEnd"/>
      <w:r>
        <w:rPr>
          <w:rFonts w:ascii="Arial" w:eastAsia="微軟正黑體" w:hAnsi="Arial" w:cs="Arial" w:hint="eastAsia"/>
          <w:szCs w:val="24"/>
        </w:rPr>
        <w:t>換老舊設施及優化設備運行外，</w:t>
      </w:r>
      <w:r w:rsidRPr="00BD5196">
        <w:rPr>
          <w:rFonts w:ascii="Arial" w:eastAsia="微軟正黑體" w:hAnsi="Arial" w:cs="Arial" w:hint="eastAsia"/>
          <w:szCs w:val="24"/>
        </w:rPr>
        <w:t>還在廠區</w:t>
      </w:r>
      <w:r>
        <w:rPr>
          <w:rFonts w:ascii="Arial" w:eastAsia="微軟正黑體" w:hAnsi="Arial" w:cs="Arial" w:hint="eastAsia"/>
          <w:szCs w:val="24"/>
        </w:rPr>
        <w:t>和辦公室內推動</w:t>
      </w:r>
      <w:proofErr w:type="gramStart"/>
      <w:r>
        <w:rPr>
          <w:rFonts w:ascii="Arial" w:eastAsia="微軟正黑體" w:hAnsi="Arial" w:cs="Arial" w:hint="eastAsia"/>
          <w:szCs w:val="24"/>
        </w:rPr>
        <w:t>節能減碳措施</w:t>
      </w:r>
      <w:proofErr w:type="gramEnd"/>
      <w:r>
        <w:rPr>
          <w:rFonts w:ascii="Arial" w:eastAsia="微軟正黑體" w:hAnsi="Arial" w:cs="Arial" w:hint="eastAsia"/>
          <w:szCs w:val="24"/>
        </w:rPr>
        <w:t>。透過教育宣導和制定相關政策規範，</w:t>
      </w:r>
      <w:r w:rsidRPr="00BD5196">
        <w:rPr>
          <w:rFonts w:ascii="Arial" w:eastAsia="微軟正黑體" w:hAnsi="Arial" w:cs="Arial" w:hint="eastAsia"/>
          <w:szCs w:val="24"/>
        </w:rPr>
        <w:t>鼓勵員工積極響應，為地球環境共同努力，為實現可持續發展貢獻力量。</w:t>
      </w:r>
    </w:p>
    <w:p w14:paraId="4E1A7A6B" w14:textId="1735940F" w:rsidR="00A54D34" w:rsidRDefault="00A54D34" w:rsidP="00A54D34">
      <w:pPr>
        <w:tabs>
          <w:tab w:val="left" w:pos="975"/>
        </w:tabs>
        <w:spacing w:line="0" w:lineRule="atLeast"/>
        <w:jc w:val="both"/>
        <w:rPr>
          <w:rFonts w:ascii="Arial" w:eastAsia="微軟正黑體" w:hAnsi="Arial" w:cs="Arial"/>
          <w:color w:val="385623" w:themeColor="accent6" w:themeShade="80"/>
          <w:szCs w:val="24"/>
        </w:rPr>
      </w:pPr>
      <w:proofErr w:type="gramStart"/>
      <w:r>
        <w:rPr>
          <w:rFonts w:ascii="微軟正黑體" w:eastAsia="微軟正黑體" w:hAnsi="微軟正黑體" w:cs="微軟正黑體" w:hint="eastAsia"/>
          <w:color w:val="385623" w:themeColor="accent6" w:themeShade="80"/>
          <w:szCs w:val="24"/>
        </w:rPr>
        <w:t>⊕</w:t>
      </w:r>
      <w:proofErr w:type="gramEnd"/>
      <w:r w:rsidR="0051441B" w:rsidRPr="0051441B">
        <w:rPr>
          <w:rFonts w:ascii="Arial" w:eastAsia="微軟正黑體" w:hAnsi="Arial" w:cs="Arial" w:hint="eastAsia"/>
          <w:color w:val="385623" w:themeColor="accent6" w:themeShade="80"/>
          <w:szCs w:val="24"/>
        </w:rPr>
        <w:t>投資於環保永續之機器設備</w:t>
      </w:r>
      <w:r>
        <w:rPr>
          <w:rFonts w:ascii="Arial" w:eastAsia="微軟正黑體" w:hAnsi="Arial" w:cs="Arial"/>
          <w:color w:val="385623" w:themeColor="accent6" w:themeShade="80"/>
          <w:szCs w:val="24"/>
        </w:rPr>
        <w:t xml:space="preserve"> </w:t>
      </w:r>
      <w:r>
        <w:rPr>
          <w:rFonts w:ascii="Arial" w:eastAsia="微軟正黑體" w:hAnsi="Arial" w:cs="Arial" w:hint="eastAsia"/>
          <w:color w:val="385623" w:themeColor="accent6" w:themeShade="80"/>
          <w:szCs w:val="24"/>
        </w:rPr>
        <w:t>檔案下載</w:t>
      </w:r>
    </w:p>
    <w:p w14:paraId="75766B8B" w14:textId="5211289C" w:rsidR="009A1689" w:rsidRDefault="009A1689" w:rsidP="00A54D34">
      <w:pPr>
        <w:spacing w:before="240" w:line="0" w:lineRule="atLeast"/>
        <w:jc w:val="both"/>
        <w:rPr>
          <w:rFonts w:ascii="微軟正黑體" w:eastAsia="微軟正黑體" w:hAnsi="微軟正黑體"/>
        </w:rPr>
      </w:pPr>
      <w:r w:rsidRPr="009A1689">
        <w:rPr>
          <w:rFonts w:ascii="微軟正黑體" w:eastAsia="微軟正黑體" w:hAnsi="微軟正黑體" w:hint="eastAsia"/>
        </w:rPr>
        <w:t>節能文化</w:t>
      </w:r>
    </w:p>
    <w:p w14:paraId="44175B51" w14:textId="77777777" w:rsidR="009A1689" w:rsidRPr="009A1689" w:rsidRDefault="009A1689" w:rsidP="009A1689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微軟正黑體" w:eastAsia="微軟正黑體" w:hAnsi="微軟正黑體"/>
        </w:rPr>
      </w:pPr>
      <w:r w:rsidRPr="009A1689">
        <w:rPr>
          <w:rFonts w:ascii="微軟正黑體" w:eastAsia="微軟正黑體" w:hAnsi="微軟正黑體" w:hint="eastAsia"/>
        </w:rPr>
        <w:t>鼓勵上、下樓時多走樓梯，減少電梯用電</w:t>
      </w:r>
      <w:r w:rsidRPr="009A1689">
        <w:rPr>
          <w:rFonts w:ascii="微軟正黑體" w:eastAsia="微軟正黑體" w:hAnsi="微軟正黑體" w:hint="eastAsia"/>
        </w:rPr>
        <w:t xml:space="preserve"> </w:t>
      </w:r>
    </w:p>
    <w:p w14:paraId="39F08BF9" w14:textId="547FC0E1" w:rsidR="009A1689" w:rsidRPr="009A1689" w:rsidRDefault="009A1689" w:rsidP="009A1689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辦公區午休時間關燈</w:t>
      </w:r>
    </w:p>
    <w:p w14:paraId="5C36992F" w14:textId="535DD27F" w:rsidR="009A1689" w:rsidRPr="009A1689" w:rsidRDefault="009A1689" w:rsidP="009A1689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靠窗之公共走道區利用自然採光，部分區域天花板設</w:t>
      </w:r>
      <w:proofErr w:type="gramStart"/>
      <w:r w:rsidRPr="009A1689">
        <w:rPr>
          <w:rFonts w:ascii="微軟正黑體" w:eastAsia="微軟正黑體" w:hAnsi="微軟正黑體" w:hint="eastAsia"/>
        </w:rPr>
        <w:t>採</w:t>
      </w:r>
      <w:proofErr w:type="gramEnd"/>
      <w:r w:rsidRPr="009A1689">
        <w:rPr>
          <w:rFonts w:ascii="微軟正黑體" w:eastAsia="微軟正黑體" w:hAnsi="微軟正黑體" w:hint="eastAsia"/>
        </w:rPr>
        <w:t>光罩</w:t>
      </w:r>
      <w:r w:rsidRPr="009A1689">
        <w:rPr>
          <w:rFonts w:ascii="微軟正黑體" w:eastAsia="微軟正黑體" w:hAnsi="微軟正黑體" w:hint="eastAsia"/>
        </w:rPr>
        <w:t xml:space="preserve"> </w:t>
      </w:r>
    </w:p>
    <w:p w14:paraId="359F9616" w14:textId="2C4AC3CD" w:rsidR="009A1689" w:rsidRPr="009A1689" w:rsidRDefault="009A1689" w:rsidP="009A1689">
      <w:pPr>
        <w:pStyle w:val="a3"/>
        <w:numPr>
          <w:ilvl w:val="0"/>
          <w:numId w:val="17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廁所及各電源、空調開關處皆設置節能、節水標語</w:t>
      </w:r>
    </w:p>
    <w:p w14:paraId="48450DA6" w14:textId="1D466AE1" w:rsidR="009A1689" w:rsidRDefault="009A1689" w:rsidP="009A1689">
      <w:pPr>
        <w:spacing w:line="0" w:lineRule="atLeast"/>
        <w:jc w:val="both"/>
        <w:rPr>
          <w:rFonts w:ascii="微軟正黑體" w:eastAsia="微軟正黑體" w:hAnsi="微軟正黑體"/>
        </w:rPr>
      </w:pPr>
      <w:proofErr w:type="gramStart"/>
      <w:r w:rsidRPr="009A1689">
        <w:rPr>
          <w:rFonts w:ascii="微軟正黑體" w:eastAsia="微軟正黑體" w:hAnsi="微軟正黑體" w:hint="eastAsia"/>
        </w:rPr>
        <w:t>時控管理</w:t>
      </w:r>
      <w:proofErr w:type="gramEnd"/>
    </w:p>
    <w:p w14:paraId="464DA70E" w14:textId="20FE7F84" w:rsidR="009A1689" w:rsidRPr="009A1689" w:rsidRDefault="009A1689" w:rsidP="009A1689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飲水機以電子式</w:t>
      </w:r>
      <w:r w:rsidR="00B070F5">
        <w:rPr>
          <w:rFonts w:ascii="微軟正黑體" w:eastAsia="微軟正黑體" w:hAnsi="微軟正黑體" w:hint="eastAsia"/>
        </w:rPr>
        <w:t>定時控制器管理，控制飲水機於離峰時段殺菌製水</w:t>
      </w:r>
      <w:r w:rsidR="00B070F5" w:rsidRPr="009A1689">
        <w:rPr>
          <w:rFonts w:ascii="微軟正黑體" w:eastAsia="微軟正黑體" w:hAnsi="微軟正黑體" w:hint="eastAsia"/>
        </w:rPr>
        <w:t xml:space="preserve"> </w:t>
      </w:r>
    </w:p>
    <w:p w14:paraId="457D3969" w14:textId="3DAB24A3" w:rsidR="009A1689" w:rsidRPr="009A1689" w:rsidRDefault="00B070F5" w:rsidP="009A1689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中央監控系統控制設備於必要時間起停節能，降低能源消耗</w:t>
      </w:r>
    </w:p>
    <w:p w14:paraId="70104F7A" w14:textId="0D48BA58" w:rsidR="009A1689" w:rsidRPr="009A1689" w:rsidRDefault="00B070F5" w:rsidP="009A1689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縮短停車場</w:t>
      </w:r>
      <w:proofErr w:type="gramStart"/>
      <w:r>
        <w:rPr>
          <w:rFonts w:ascii="微軟正黑體" w:eastAsia="微軟正黑體" w:hAnsi="微軟正黑體" w:hint="eastAsia"/>
        </w:rPr>
        <w:t>的送排風</w:t>
      </w:r>
      <w:proofErr w:type="gramEnd"/>
      <w:r>
        <w:rPr>
          <w:rFonts w:ascii="微軟正黑體" w:eastAsia="微軟正黑體" w:hAnsi="微軟正黑體" w:hint="eastAsia"/>
        </w:rPr>
        <w:t>機運轉時間，除上、下班時段外，其餘時段不開啟</w:t>
      </w:r>
      <w:r w:rsidR="009A1689" w:rsidRPr="009A1689">
        <w:rPr>
          <w:rFonts w:ascii="微軟正黑體" w:eastAsia="微軟正黑體" w:hAnsi="微軟正黑體" w:hint="eastAsia"/>
        </w:rPr>
        <w:t xml:space="preserve"> </w:t>
      </w:r>
    </w:p>
    <w:p w14:paraId="24B01E6E" w14:textId="5E6EBDE6" w:rsidR="009A1689" w:rsidRPr="009A1689" w:rsidRDefault="009A1689" w:rsidP="009A1689">
      <w:pPr>
        <w:pStyle w:val="a3"/>
        <w:numPr>
          <w:ilvl w:val="0"/>
          <w:numId w:val="18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逃生樓梯的</w:t>
      </w:r>
      <w:proofErr w:type="gramStart"/>
      <w:r w:rsidRPr="009A1689">
        <w:rPr>
          <w:rFonts w:ascii="微軟正黑體" w:eastAsia="微軟正黑體" w:hAnsi="微軟正黑體" w:hint="eastAsia"/>
        </w:rPr>
        <w:t>消防正壓風車</w:t>
      </w:r>
      <w:proofErr w:type="gramEnd"/>
      <w:r w:rsidRPr="009A1689">
        <w:rPr>
          <w:rFonts w:ascii="微軟正黑體" w:eastAsia="微軟正黑體" w:hAnsi="微軟正黑體" w:hint="eastAsia"/>
        </w:rPr>
        <w:t>增設電子式控制啟動及停止時間</w:t>
      </w:r>
      <w:bookmarkStart w:id="0" w:name="_GoBack"/>
      <w:bookmarkEnd w:id="0"/>
    </w:p>
    <w:p w14:paraId="7F6C4A81" w14:textId="186955CA" w:rsidR="009A1689" w:rsidRDefault="009A1689" w:rsidP="009A1689">
      <w:pPr>
        <w:spacing w:line="0" w:lineRule="atLeast"/>
        <w:jc w:val="both"/>
        <w:rPr>
          <w:rFonts w:ascii="微軟正黑體" w:eastAsia="微軟正黑體" w:hAnsi="微軟正黑體"/>
        </w:rPr>
      </w:pPr>
      <w:r w:rsidRPr="009A1689">
        <w:rPr>
          <w:rFonts w:ascii="微軟正黑體" w:eastAsia="微軟正黑體" w:hAnsi="微軟正黑體" w:hint="eastAsia"/>
        </w:rPr>
        <w:t>效能維護</w:t>
      </w:r>
    </w:p>
    <w:p w14:paraId="138C385B" w14:textId="6B3DE151" w:rsidR="009A1689" w:rsidRPr="009A1689" w:rsidRDefault="00B070F5" w:rsidP="009A1689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選用符合節能標章之冷氣機、電冰箱等家電產品</w:t>
      </w:r>
      <w:r w:rsidR="009A1689" w:rsidRPr="009A1689">
        <w:rPr>
          <w:rFonts w:ascii="微軟正黑體" w:eastAsia="微軟正黑體" w:hAnsi="微軟正黑體" w:hint="eastAsia"/>
        </w:rPr>
        <w:t xml:space="preserve">  </w:t>
      </w:r>
    </w:p>
    <w:p w14:paraId="0561D2DD" w14:textId="2A8B2203" w:rsidR="009A1689" w:rsidRPr="009A1689" w:rsidRDefault="009A1689" w:rsidP="009A1689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 xml:space="preserve">設定控制冰水主機出水溫度 8°C </w:t>
      </w:r>
      <w:r w:rsidR="00B070F5">
        <w:rPr>
          <w:rFonts w:ascii="微軟正黑體" w:eastAsia="微軟正黑體" w:hAnsi="微軟正黑體" w:hint="eastAsia"/>
        </w:rPr>
        <w:t>以上</w:t>
      </w:r>
      <w:r w:rsidRPr="009A1689">
        <w:rPr>
          <w:rFonts w:ascii="微軟正黑體" w:eastAsia="微軟正黑體" w:hAnsi="微軟正黑體" w:hint="eastAsia"/>
        </w:rPr>
        <w:t xml:space="preserve"> </w:t>
      </w:r>
    </w:p>
    <w:p w14:paraId="14E32548" w14:textId="51DB943F" w:rsidR="009A1689" w:rsidRPr="009A1689" w:rsidRDefault="00A2595A" w:rsidP="009A1689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室內空調溫度</w:t>
      </w:r>
      <w:r w:rsidR="009A1689" w:rsidRPr="009A1689">
        <w:rPr>
          <w:rFonts w:ascii="微軟正黑體" w:eastAsia="微軟正黑體" w:hAnsi="微軟正黑體" w:hint="eastAsia"/>
        </w:rPr>
        <w:t>設定在26°</w:t>
      </w:r>
      <w:r>
        <w:rPr>
          <w:rFonts w:ascii="微軟正黑體" w:eastAsia="微軟正黑體" w:hAnsi="微軟正黑體" w:hint="eastAsia"/>
        </w:rPr>
        <w:t>C</w:t>
      </w:r>
      <w:r w:rsidR="009A1689" w:rsidRPr="009A1689">
        <w:rPr>
          <w:rFonts w:ascii="微軟正黑體" w:eastAsia="微軟正黑體" w:hAnsi="微軟正黑體" w:hint="eastAsia"/>
        </w:rPr>
        <w:t>之</w:t>
      </w:r>
      <w:proofErr w:type="gramStart"/>
      <w:r w:rsidR="009A1689" w:rsidRPr="009A1689">
        <w:rPr>
          <w:rFonts w:ascii="微軟正黑體" w:eastAsia="微軟正黑體" w:hAnsi="微軟正黑體" w:hint="eastAsia"/>
        </w:rPr>
        <w:t>最</w:t>
      </w:r>
      <w:proofErr w:type="gramEnd"/>
      <w:r w:rsidR="009A1689" w:rsidRPr="009A1689">
        <w:rPr>
          <w:rFonts w:ascii="微軟正黑體" w:eastAsia="微軟正黑體" w:hAnsi="微軟正黑體" w:hint="eastAsia"/>
        </w:rPr>
        <w:t xml:space="preserve">適溫度 </w:t>
      </w:r>
    </w:p>
    <w:p w14:paraId="6919E916" w14:textId="49E8B680" w:rsidR="009A1689" w:rsidRPr="009A1689" w:rsidRDefault="009A1689" w:rsidP="009A1689">
      <w:pPr>
        <w:pStyle w:val="a3"/>
        <w:numPr>
          <w:ilvl w:val="0"/>
          <w:numId w:val="19"/>
        </w:numPr>
        <w:spacing w:line="0" w:lineRule="atLeast"/>
        <w:ind w:leftChars="0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>依冷</w:t>
      </w:r>
      <w:r w:rsidR="00B070F5">
        <w:rPr>
          <w:rFonts w:ascii="微軟正黑體" w:eastAsia="微軟正黑體" w:hAnsi="微軟正黑體" w:hint="eastAsia"/>
        </w:rPr>
        <w:t>卻水回水溫度決定每台冷卻水塔啟動機組冷卻風扇，並增設控制閥散熱</w:t>
      </w:r>
    </w:p>
    <w:p w14:paraId="4D634FEB" w14:textId="3B629FCB" w:rsidR="009A1689" w:rsidRPr="009A1689" w:rsidRDefault="009A1689" w:rsidP="009A1689">
      <w:pPr>
        <w:spacing w:line="0" w:lineRule="atLeast"/>
        <w:jc w:val="both"/>
        <w:rPr>
          <w:rFonts w:ascii="微軟正黑體" w:eastAsia="微軟正黑體" w:hAnsi="微軟正黑體" w:hint="eastAsia"/>
        </w:rPr>
      </w:pPr>
      <w:r w:rsidRPr="009A1689">
        <w:rPr>
          <w:rFonts w:ascii="微軟正黑體" w:eastAsia="微軟正黑體" w:hAnsi="微軟正黑體" w:hint="eastAsia"/>
        </w:rPr>
        <w:t xml:space="preserve"> </w:t>
      </w:r>
    </w:p>
    <w:sectPr w:rsidR="009A1689" w:rsidRPr="009A1689" w:rsidSect="00684E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199CF" w14:textId="77777777" w:rsidR="00684E0B" w:rsidRDefault="00684E0B" w:rsidP="00684E0B">
      <w:r>
        <w:separator/>
      </w:r>
    </w:p>
  </w:endnote>
  <w:endnote w:type="continuationSeparator" w:id="0">
    <w:p w14:paraId="15FDBCDD" w14:textId="77777777" w:rsidR="00684E0B" w:rsidRDefault="00684E0B" w:rsidP="006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2B7C" w14:textId="77777777" w:rsidR="00684E0B" w:rsidRDefault="00684E0B" w:rsidP="00684E0B">
      <w:r>
        <w:separator/>
      </w:r>
    </w:p>
  </w:footnote>
  <w:footnote w:type="continuationSeparator" w:id="0">
    <w:p w14:paraId="0270E30F" w14:textId="77777777" w:rsidR="00684E0B" w:rsidRDefault="00684E0B" w:rsidP="0068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65FE" w14:textId="77777777" w:rsidR="00684E0B" w:rsidRDefault="00684E0B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131C9" wp14:editId="497FB599">
          <wp:simplePos x="0" y="0"/>
          <wp:positionH relativeFrom="column">
            <wp:posOffset>5218430</wp:posOffset>
          </wp:positionH>
          <wp:positionV relativeFrom="paragraph">
            <wp:posOffset>-320040</wp:posOffset>
          </wp:positionV>
          <wp:extent cx="1395095" cy="546100"/>
          <wp:effectExtent l="0" t="0" r="0" b="635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8B9"/>
    <w:multiLevelType w:val="hybridMultilevel"/>
    <w:tmpl w:val="9E70AB5C"/>
    <w:lvl w:ilvl="0" w:tplc="801068D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D143B7"/>
    <w:multiLevelType w:val="hybridMultilevel"/>
    <w:tmpl w:val="2BDE7016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A105E8"/>
    <w:multiLevelType w:val="hybridMultilevel"/>
    <w:tmpl w:val="8488C39A"/>
    <w:lvl w:ilvl="0" w:tplc="74FC838A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D27272"/>
    <w:multiLevelType w:val="hybridMultilevel"/>
    <w:tmpl w:val="919A697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7A824E9"/>
    <w:multiLevelType w:val="hybridMultilevel"/>
    <w:tmpl w:val="670CC6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D96672"/>
    <w:multiLevelType w:val="hybridMultilevel"/>
    <w:tmpl w:val="C5420C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F94BD7"/>
    <w:multiLevelType w:val="hybridMultilevel"/>
    <w:tmpl w:val="5EC6490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6F7791"/>
    <w:multiLevelType w:val="hybridMultilevel"/>
    <w:tmpl w:val="91BC62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5AE172C"/>
    <w:multiLevelType w:val="hybridMultilevel"/>
    <w:tmpl w:val="54AEE7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8677BAE"/>
    <w:multiLevelType w:val="hybridMultilevel"/>
    <w:tmpl w:val="101447AE"/>
    <w:lvl w:ilvl="0" w:tplc="6128A742">
      <w:start w:val="1"/>
      <w:numFmt w:val="taiwaneseCountingThousand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6C1D76"/>
    <w:multiLevelType w:val="hybridMultilevel"/>
    <w:tmpl w:val="60DC34A0"/>
    <w:lvl w:ilvl="0" w:tplc="448E7568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293281E"/>
    <w:multiLevelType w:val="hybridMultilevel"/>
    <w:tmpl w:val="7756BC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D93105"/>
    <w:multiLevelType w:val="hybridMultilevel"/>
    <w:tmpl w:val="B9102C4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274A6C"/>
    <w:multiLevelType w:val="hybridMultilevel"/>
    <w:tmpl w:val="1C00A6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6591607"/>
    <w:multiLevelType w:val="hybridMultilevel"/>
    <w:tmpl w:val="74B6F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FA82B1B"/>
    <w:multiLevelType w:val="hybridMultilevel"/>
    <w:tmpl w:val="D69A70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FB4737C"/>
    <w:multiLevelType w:val="hybridMultilevel"/>
    <w:tmpl w:val="6784BE3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A9"/>
    <w:rsid w:val="000258EB"/>
    <w:rsid w:val="000B4C75"/>
    <w:rsid w:val="000B5328"/>
    <w:rsid w:val="000D132B"/>
    <w:rsid w:val="001351A9"/>
    <w:rsid w:val="00141E0D"/>
    <w:rsid w:val="0016096F"/>
    <w:rsid w:val="001A7E9D"/>
    <w:rsid w:val="002960DD"/>
    <w:rsid w:val="002B3FB9"/>
    <w:rsid w:val="00392F4B"/>
    <w:rsid w:val="003D5B1B"/>
    <w:rsid w:val="003E7C2D"/>
    <w:rsid w:val="004243B5"/>
    <w:rsid w:val="00426347"/>
    <w:rsid w:val="004A2B4E"/>
    <w:rsid w:val="004A3EA1"/>
    <w:rsid w:val="004C13B0"/>
    <w:rsid w:val="004D1CD4"/>
    <w:rsid w:val="0051441B"/>
    <w:rsid w:val="005C58D1"/>
    <w:rsid w:val="005D0C6C"/>
    <w:rsid w:val="005D0D12"/>
    <w:rsid w:val="005E34AE"/>
    <w:rsid w:val="005E4308"/>
    <w:rsid w:val="006250D8"/>
    <w:rsid w:val="00640C1B"/>
    <w:rsid w:val="006636A6"/>
    <w:rsid w:val="00684E0B"/>
    <w:rsid w:val="00721FED"/>
    <w:rsid w:val="00735F52"/>
    <w:rsid w:val="0075175E"/>
    <w:rsid w:val="00760CB6"/>
    <w:rsid w:val="00777417"/>
    <w:rsid w:val="007966BD"/>
    <w:rsid w:val="007D2EA1"/>
    <w:rsid w:val="00841D86"/>
    <w:rsid w:val="00894270"/>
    <w:rsid w:val="008C69FE"/>
    <w:rsid w:val="008D6020"/>
    <w:rsid w:val="00955763"/>
    <w:rsid w:val="009A1689"/>
    <w:rsid w:val="009B20D9"/>
    <w:rsid w:val="009F66DB"/>
    <w:rsid w:val="00A0438D"/>
    <w:rsid w:val="00A201EE"/>
    <w:rsid w:val="00A21EC9"/>
    <w:rsid w:val="00A2595A"/>
    <w:rsid w:val="00A31418"/>
    <w:rsid w:val="00A53975"/>
    <w:rsid w:val="00A54D34"/>
    <w:rsid w:val="00AA7817"/>
    <w:rsid w:val="00AB3886"/>
    <w:rsid w:val="00AE3415"/>
    <w:rsid w:val="00AE5AB9"/>
    <w:rsid w:val="00B00F54"/>
    <w:rsid w:val="00B070F5"/>
    <w:rsid w:val="00B3228F"/>
    <w:rsid w:val="00B415D0"/>
    <w:rsid w:val="00B70DB2"/>
    <w:rsid w:val="00BD5196"/>
    <w:rsid w:val="00C23FCC"/>
    <w:rsid w:val="00CF27ED"/>
    <w:rsid w:val="00D03DE1"/>
    <w:rsid w:val="00DA3384"/>
    <w:rsid w:val="00DC18F4"/>
    <w:rsid w:val="00DE33B5"/>
    <w:rsid w:val="00DF129F"/>
    <w:rsid w:val="00DF7932"/>
    <w:rsid w:val="00E470DE"/>
    <w:rsid w:val="00E6597A"/>
    <w:rsid w:val="00F36DED"/>
    <w:rsid w:val="00F73E31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AE9055"/>
  <w15:chartTrackingRefBased/>
  <w15:docId w15:val="{A845A1D2-3793-465F-B329-00353A89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3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CD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E0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E0B"/>
    <w:rPr>
      <w:sz w:val="20"/>
      <w:szCs w:val="20"/>
    </w:rPr>
  </w:style>
  <w:style w:type="table" w:styleId="a8">
    <w:name w:val="Table Grid"/>
    <w:basedOn w:val="a1"/>
    <w:uiPriority w:val="39"/>
    <w:rsid w:val="00F7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3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3E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22</cp:revision>
  <cp:lastPrinted>2024-12-23T06:31:00Z</cp:lastPrinted>
  <dcterms:created xsi:type="dcterms:W3CDTF">2024-12-30T09:01:00Z</dcterms:created>
  <dcterms:modified xsi:type="dcterms:W3CDTF">2025-01-15T05:13:00Z</dcterms:modified>
</cp:coreProperties>
</file>